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BE13"/>
    <w:p w14:paraId="4018486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评标委员会对所有投标人投标文件的总分排序</w:t>
      </w:r>
    </w:p>
    <w:p w14:paraId="66C4E968"/>
    <w:p w14:paraId="3D9CBEF5">
      <w:r>
        <w:drawing>
          <wp:inline distT="0" distB="0" distL="114300" distR="114300">
            <wp:extent cx="5273675" cy="1537335"/>
            <wp:effectExtent l="0" t="0" r="952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25C79"/>
    <w:rsid w:val="4D32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1</TotalTime>
  <ScaleCrop>false</ScaleCrop>
  <LinksUpToDate>false</LinksUpToDate>
  <CharactersWithSpaces>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2025-04-21T06:20:00Z</dcterms:created>
  <dc:creator>admin</dc:creator>
  <cp:lastModifiedBy>lenovo</cp:lastModifiedBy>
  <dcterms:modified xsi:type="dcterms:W3CDTF">2025-05-22T04:10:36Z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eyJoZGlkIjoiODY5ZmU0ZGFkYWQwNzRmN2EzZTY1NGJlMzQyOGU2MmQifQ==</vt:lpwstr>
  </property>
  <property fmtid="{D5CDD505-2E9C-101B-9397-08002B2CF9AE}" pid="4" name="ICV">
    <vt:lpwstr>86524F96711342B2879817AD1C16F0C1_12</vt:lpwstr>
  </property>
</Properties>
</file>