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bookmarkStart w:id="0" w:name="_Hlk174565253"/>
      <w:bookmarkStart w:id="1" w:name="_Hlk174564997"/>
      <w:r>
        <w:rPr>
          <w:rFonts w:hint="eastAsia" w:ascii="宋体" w:hAnsi="宋体" w:eastAsia="宋体" w:cs="宋体"/>
          <w:b/>
          <w:bCs/>
          <w:snapToGrid/>
          <w:color w:val="auto"/>
          <w:kern w:val="2"/>
          <w:sz w:val="32"/>
          <w:szCs w:val="32"/>
          <w:lang w:eastAsia="zh-CN"/>
        </w:rPr>
        <w:drawing>
          <wp:inline distT="0" distB="0" distL="114300" distR="114300">
            <wp:extent cx="5608320" cy="9006205"/>
            <wp:effectExtent l="0" t="0" r="0" b="635"/>
            <wp:docPr id="3" name="图片 3"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件封面"/>
                    <pic:cNvPicPr>
                      <a:picLocks noChangeAspect="1"/>
                    </pic:cNvPicPr>
                  </pic:nvPicPr>
                  <pic:blipFill>
                    <a:blip r:embed="rId16"/>
                    <a:stretch>
                      <a:fillRect/>
                    </a:stretch>
                  </pic:blipFill>
                  <pic:spPr>
                    <a:xfrm>
                      <a:off x="0" y="0"/>
                      <a:ext cx="5608320" cy="9006205"/>
                    </a:xfrm>
                    <a:prstGeom prst="rect">
                      <a:avLst/>
                    </a:prstGeom>
                  </pic:spPr>
                </pic:pic>
              </a:graphicData>
            </a:graphic>
          </wp:inline>
        </w:drawing>
      </w:r>
    </w:p>
    <w:p>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pPr>
        <w:kinsoku/>
        <w:wordWrap w:val="0"/>
        <w:spacing w:line="360" w:lineRule="auto"/>
        <w:jc w:val="center"/>
        <w:outlineLvl w:val="0"/>
        <w:rPr>
          <w:rFonts w:hint="eastAsia" w:ascii="宋体" w:hAnsi="宋体" w:eastAsia="宋体" w:cs="宋体"/>
          <w:sz w:val="52"/>
          <w:szCs w:val="52"/>
          <w:lang w:eastAsia="zh-CN"/>
        </w:rPr>
      </w:pPr>
      <w:r>
        <w:rPr>
          <w:rFonts w:hint="eastAsia" w:ascii="宋体" w:hAnsi="宋体" w:eastAsia="宋体" w:cs="宋体"/>
          <w:spacing w:val="-1"/>
          <w:sz w:val="52"/>
          <w:szCs w:val="52"/>
          <w:lang w:eastAsia="zh-CN"/>
          <w14:textOutline w14:w="3848" w14:cap="flat" w14:cmpd="sng" w14:algn="ctr">
            <w14:solidFill>
              <w14:srgbClr w14:val="000000"/>
            </w14:solidFill>
            <w14:prstDash w14:val="solid"/>
            <w14:miter w14:val="0"/>
          </w14:textOutline>
        </w:rPr>
        <w:t>南阳市卧龙区人民法院融合型科技法庭采购项目竞争性磋商文件</w:t>
      </w:r>
    </w:p>
    <w:p>
      <w:pPr>
        <w:kinsoku/>
        <w:wordWrap w:val="0"/>
        <w:spacing w:line="360" w:lineRule="auto"/>
        <w:jc w:val="center"/>
        <w:rPr>
          <w:rFonts w:hint="eastAsia" w:ascii="宋体" w:hAnsi="宋体" w:eastAsia="宋体" w:cs="宋体"/>
          <w:sz w:val="52"/>
          <w:szCs w:val="52"/>
          <w:lang w:eastAsia="zh-CN"/>
        </w:rPr>
      </w:pPr>
    </w:p>
    <w:p>
      <w:pPr>
        <w:kinsoku/>
        <w:wordWrap w:val="0"/>
        <w:spacing w:line="248"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南阳市卧龙区人民法院融合型科技法庭采购项目</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豫财磋商采购-2024-896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u w:val="single"/>
          <w:lang w:eastAsia="zh-CN"/>
        </w:rPr>
        <w:t xml:space="preserve"> 豫财磋商采购-2024-896-2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南阳市卧龙区人民法院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河南豫尧工程管理有限责任公司   </w:t>
      </w: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pStyle w:val="9"/>
        <w:rPr>
          <w:rFonts w:hint="eastAsia"/>
          <w:lang w:eastAsia="zh-CN"/>
        </w:rPr>
      </w:pPr>
    </w:p>
    <w:p>
      <w:pPr>
        <w:pStyle w:val="10"/>
      </w:pPr>
    </w:p>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p>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p>
    <w:sdt>
      <w:sdtPr>
        <w:rPr>
          <w:rFonts w:hint="eastAsia" w:ascii="宋体" w:hAnsi="宋体" w:eastAsia="宋体" w:cs="宋体"/>
          <w:b/>
          <w:bCs/>
          <w:snapToGrid/>
          <w:color w:val="auto"/>
          <w:kern w:val="2"/>
          <w:sz w:val="32"/>
          <w:szCs w:val="32"/>
          <w:lang w:eastAsia="zh-CN"/>
        </w:rPr>
        <w:id w:val="147462569"/>
        <w15:color w:val="DBDBDB"/>
        <w:docPartObj>
          <w:docPartGallery w:val="Table of Contents"/>
          <w:docPartUnique/>
        </w:docPartObj>
      </w:sdtPr>
      <w:sdtEndPr>
        <w:rPr>
          <w:rFonts w:hint="eastAsia" w:ascii="Calibri" w:hAnsi="Calibri" w:eastAsia="宋体" w:cs="Times New Roman"/>
          <w:b/>
          <w:bCs/>
          <w:snapToGrid/>
          <w:color w:val="auto"/>
          <w:kern w:val="2"/>
          <w:sz w:val="21"/>
          <w:szCs w:val="32"/>
          <w:lang w:eastAsia="zh-CN"/>
        </w:rPr>
      </w:sdtEndPr>
      <w:sdtContent>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r>
            <w:rPr>
              <w:rFonts w:hint="eastAsia" w:ascii="宋体" w:hAnsi="宋体" w:eastAsia="宋体" w:cs="宋体"/>
              <w:b/>
              <w:bCs/>
              <w:snapToGrid/>
              <w:color w:val="auto"/>
              <w:kern w:val="2"/>
              <w:sz w:val="32"/>
              <w:szCs w:val="32"/>
              <w:lang w:eastAsia="zh-CN"/>
            </w:rPr>
            <w:t>目     录</w:t>
          </w:r>
        </w:p>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pPr>
        </w:p>
      </w:sdtContent>
    </w:sdt>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pP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第一章   公开招标公告</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第二章   采购需求</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 xml:space="preserve">第三章   投标人须知 </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 xml:space="preserve">第四章   开、评标程序、评标方法和评标标准 </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第五章   政府采购合同（草案）</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第六章   投标文件格式</w:t>
      </w:r>
    </w:p>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sectPr>
          <w:pgSz w:w="11900" w:h="16838"/>
          <w:pgMar w:top="1334" w:right="1346" w:bottom="1315" w:left="1440" w:header="170" w:footer="964" w:gutter="0"/>
          <w:pgNumType w:start="1"/>
          <w:cols w:equalWidth="0" w:num="1">
            <w:col w:w="9120"/>
          </w:cols>
        </w:sect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bookmarkStart w:id="2" w:name="_Toc25660"/>
    </w:p>
    <w:p>
      <w:pPr>
        <w:widowControl w:val="0"/>
        <w:numPr>
          <w:ilvl w:val="0"/>
          <w:numId w:val="1"/>
        </w:numPr>
        <w:kinsoku/>
        <w:autoSpaceDE/>
        <w:autoSpaceDN/>
        <w:adjustRightInd/>
        <w:snapToGrid/>
        <w:spacing w:line="360" w:lineRule="auto"/>
        <w:jc w:val="center"/>
        <w:textAlignment w:val="auto"/>
        <w:outlineLvl w:val="0"/>
        <w:rPr>
          <w:rFonts w:ascii="Calibri" w:hAnsi="Calibri" w:eastAsia="宋体" w:cs="Times New Roman"/>
          <w:b/>
          <w:bCs/>
          <w:snapToGrid/>
          <w:color w:val="auto"/>
          <w:kern w:val="2"/>
          <w:sz w:val="28"/>
          <w:szCs w:val="32"/>
          <w:lang w:eastAsia="zh-CN"/>
        </w:rPr>
      </w:pPr>
      <w:r>
        <w:rPr>
          <w:rFonts w:hint="eastAsia" w:ascii="Calibri" w:hAnsi="Calibri" w:eastAsia="宋体" w:cs="Times New Roman"/>
          <w:b/>
          <w:bCs/>
          <w:snapToGrid/>
          <w:color w:val="auto"/>
          <w:kern w:val="2"/>
          <w:sz w:val="28"/>
          <w:szCs w:val="32"/>
          <w:lang w:eastAsia="zh-CN"/>
        </w:rPr>
        <w:t>采购公告</w:t>
      </w:r>
      <w:bookmarkEnd w:id="2"/>
      <w:bookmarkStart w:id="3" w:name="_Toc23479"/>
      <w:bookmarkStart w:id="4" w:name="_Toc410126998"/>
      <w:bookmarkStart w:id="5" w:name="_Toc503213126"/>
      <w:bookmarkStart w:id="6" w:name="_Toc270604573"/>
      <w:bookmarkStart w:id="7" w:name="_Toc22183"/>
    </w:p>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b/>
          <w:bCs/>
          <w:snapToGrid/>
          <w:sz w:val="32"/>
          <w:szCs w:val="32"/>
          <w:lang w:eastAsia="zh-CN"/>
        </w:rPr>
      </w:pPr>
      <w:bookmarkStart w:id="8" w:name="_Toc23002"/>
      <w:r>
        <w:rPr>
          <w:rFonts w:hint="eastAsia" w:ascii="宋体" w:hAnsi="宋体" w:eastAsia="宋体" w:cs="宋体"/>
          <w:b/>
          <w:bCs/>
          <w:snapToGrid/>
          <w:sz w:val="32"/>
          <w:szCs w:val="32"/>
          <w:lang w:eastAsia="zh-CN"/>
        </w:rPr>
        <w:t>南阳市卧龙区人民法院融合型科技法庭采购项目采购公告</w:t>
      </w:r>
    </w:p>
    <w:p>
      <w:pPr>
        <w:keepNext w:val="0"/>
        <w:keepLines w:val="0"/>
        <w:pageBreakBefore w:val="0"/>
        <w:widowControl/>
        <w:kinsoku/>
        <w:wordWrap/>
        <w:overflowPunct/>
        <w:topLinePunct w:val="0"/>
        <w:autoSpaceDE/>
        <w:autoSpaceDN/>
        <w:bidi w:val="0"/>
        <w:adjustRightInd/>
        <w:snapToGrid/>
        <w:spacing w:before="180" w:line="500" w:lineRule="exact"/>
        <w:ind w:right="62" w:firstLine="480" w:firstLineChars="2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采购人拟就下述项目以竞争性磋商方式组织采购活动，欢迎潜在供应商参与本项目磋商。</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Times New Roman"/>
          <w:snapToGrid/>
          <w:color w:val="auto"/>
          <w:sz w:val="18"/>
          <w:szCs w:val="18"/>
          <w:lang w:eastAsia="zh-CN"/>
        </w:rPr>
      </w:pPr>
      <w:r>
        <w:rPr>
          <w:rFonts w:hint="eastAsia" w:ascii="宋体" w:hAnsi="宋体" w:eastAsia="宋体" w:cs="宋体"/>
          <w:b/>
          <w:snapToGrid/>
          <w:sz w:val="24"/>
          <w:szCs w:val="24"/>
          <w:lang w:eastAsia="zh-CN"/>
        </w:rPr>
        <w:t>一、项目基本情况</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1、项目编号：</w:t>
      </w:r>
      <w:bookmarkStart w:id="9" w:name="_Hlk174549726"/>
      <w:r>
        <w:rPr>
          <w:rFonts w:hint="eastAsia" w:ascii="宋体" w:hAnsi="宋体" w:eastAsia="宋体" w:cs="宋体"/>
          <w:snapToGrid/>
          <w:sz w:val="24"/>
          <w:szCs w:val="24"/>
          <w:lang w:eastAsia="zh-CN"/>
        </w:rPr>
        <w:t>豫财磋商采购-2024-8</w:t>
      </w:r>
      <w:bookmarkEnd w:id="9"/>
      <w:r>
        <w:rPr>
          <w:rFonts w:hint="eastAsia" w:ascii="宋体" w:hAnsi="宋体" w:eastAsia="宋体" w:cs="宋体"/>
          <w:snapToGrid/>
          <w:sz w:val="24"/>
          <w:szCs w:val="24"/>
          <w:lang w:eastAsia="zh-CN"/>
        </w:rPr>
        <w:t>96</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2、项目名称：</w:t>
      </w:r>
      <w:bookmarkStart w:id="10" w:name="_Hlk174549739"/>
      <w:r>
        <w:rPr>
          <w:rFonts w:hint="eastAsia" w:ascii="宋体" w:hAnsi="宋体" w:eastAsia="宋体" w:cs="宋体"/>
          <w:snapToGrid/>
          <w:sz w:val="24"/>
          <w:szCs w:val="24"/>
          <w:lang w:eastAsia="zh-CN"/>
        </w:rPr>
        <w:t>南阳市卧龙区人民法院融合型科技法庭采购项目</w:t>
      </w:r>
      <w:bookmarkEnd w:id="10"/>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3、采购方式：竞争性磋商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4、预算金额：人民币193万元；最高限价：人民币193万元 </w:t>
      </w:r>
    </w:p>
    <w:tbl>
      <w:tblPr>
        <w:tblStyle w:val="38"/>
        <w:tblW w:w="8877"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800"/>
        <w:gridCol w:w="3812"/>
        <w:gridCol w:w="1148"/>
        <w:gridCol w:w="1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序号</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包号</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包名称</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包预算（元）</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豫财磋商采购-2024-896-1</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南阳市卧龙区人民法院融合型科技法庭采购项目第一标段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744800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744800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豫财磋商采购-2024-896-2</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南阳市卧龙区人民法院融合型科技法庭采购项目第二标段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620000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620000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豫财磋商采购-2024-896-3</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南阳市卧龙区人民法院融合型科技法庭采购项目第三标段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565200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565200</w:t>
            </w:r>
          </w:p>
        </w:tc>
      </w:tr>
    </w:tbl>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5、采购需求（包括但不限于标的的名称、数量、简要技术需求或服务要求等）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5.1、供货期：合同签订之日起15日历天</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5.2、采购范围：采购文件及设备清单内包含的所有内容</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5.3、质量要求：合格</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5.4、标段划分：本项目划分为三个标段</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5.5、质保期：硬件提供3年整机质保，1年上门服务，7×24小时电话响应支持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6、合同履行期限：15日历天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7、本项目是否接受联合体投标：否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8、是否接受进口产品：否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9、是否专门面向中小企业：否 </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二、申请人资格要求（须同时满足）：</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1、满足《中华人民共和国政府采购法》第二十二条规定；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 落实政府采购政策满足的资格要求：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本项目支持河南省政府采购合同融资政策。</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3.本项目的特定资格要求</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3.1具有独立承担民事责任的能力；（提供有效的法人或者其他组织的营业执照等证明文件，自然人投标的需提供自然人的身份证明）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3.2具有良好的商业信誉和健全的财务会计管理制度；（提供2023年或2024年经审计的财务报告或本公司出具的财务报表，或提供近三个月内其银行出具的资信证明）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3.3具有履行合同所必须的设备和专业技术能力；（提供书面声明，内容不限，格式自拟）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3.4有依法缴纳税收和社会保障资金的良好记录；（提供2024年内任意1个月纳税和社保证明材料&lt;依法免税或不需要缴纳社会保障资金的供应商，应提供相应文件证明其依法免税或不需要缴纳社会保障金的证明材料&gt;）</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3.5参加政府采购活动前三年内，在经营活动中没有重大违法记录。（提供书面声明，见格式）</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3.6根据《关于在政府采购活动中查询及使用信用记录有关问题的通知》(财库[2016]125 号) 的规定，被列入“信用中国”网站（www.creditchina.gov.cn）的“失信被执行人”（查询渠道为“中国执行信息公开网”网站(zxgk.court.gov.cn/shixin/））、“重大税收违法失信主体”或“中国政府采购网”网站（www.ccgp.gov.cn）的“政府采购严重违法失信行为记录名单”的供应商，不得参与本次采购活动。查询时间：本项目采购公告发布之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3.7与采购人、采购人就本次采购的项目委托的招标代理机构以及上述机构的附属机构没有行政或经济关联。单位负责人为同一人或者存在直接控股、管理关系的不同供应商，不得参加同一合同项下的政府采购活动；（提供书面声明，内容不限，格式自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3.8 遵守国家有关法律、法规、规章。</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bookmarkStart w:id="11" w:name="_Toc172617108"/>
      <w:r>
        <w:rPr>
          <w:rFonts w:hint="eastAsia" w:ascii="宋体" w:hAnsi="宋体" w:eastAsia="宋体" w:cs="宋体"/>
          <w:b/>
          <w:snapToGrid/>
          <w:sz w:val="24"/>
          <w:szCs w:val="24"/>
          <w:lang w:eastAsia="zh-CN"/>
        </w:rPr>
        <w:t>三、落实政府采购政策需满足的资格要求:</w:t>
      </w:r>
      <w:bookmarkEnd w:id="11"/>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1.中小企业政策</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本项目不专门面向中小企业预留采购份额。</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Segoe UI Symbol" w:hAnsi="Segoe UI Symbol" w:eastAsia="宋体" w:cs="Segoe UI Symbol"/>
          <w:sz w:val="24"/>
          <w:szCs w:val="24"/>
          <w:lang w:eastAsia="zh-CN"/>
        </w:rPr>
        <w:t>□</w:t>
      </w:r>
      <w:r>
        <w:rPr>
          <w:rFonts w:ascii="宋体" w:hAnsi="宋体" w:eastAsia="宋体"/>
          <w:sz w:val="24"/>
          <w:szCs w:val="24"/>
          <w:lang w:eastAsia="zh-CN"/>
        </w:rPr>
        <w:t>本项目专门面向中小企业采购。即：提供的货物全部由符合政策要求的中小/微企业制造、服务全部由符合政策要求的中小/微企业承接。中小企业划分标准所属行业</w:t>
      </w:r>
      <w:r>
        <w:rPr>
          <w:rFonts w:hint="eastAsia" w:ascii="宋体" w:hAnsi="宋体" w:eastAsia="宋体"/>
          <w:sz w:val="24"/>
          <w:szCs w:val="24"/>
          <w:lang w:eastAsia="zh-CN"/>
        </w:rPr>
        <w:t>：所有包为</w:t>
      </w:r>
      <w:r>
        <w:rPr>
          <w:rFonts w:ascii="宋体" w:hAnsi="宋体" w:eastAsia="宋体"/>
          <w:sz w:val="24"/>
          <w:szCs w:val="24"/>
          <w:lang w:eastAsia="zh-CN"/>
        </w:rPr>
        <w:t>软件和信息技术服务业</w:t>
      </w:r>
      <w:r>
        <w:rPr>
          <w:rFonts w:hint="eastAsia" w:ascii="宋体" w:hAnsi="宋体" w:eastAsia="宋体"/>
          <w:sz w:val="24"/>
          <w:szCs w:val="24"/>
          <w:lang w:eastAsia="zh-CN"/>
        </w:rPr>
        <w:t>。</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宋体" w:hAnsi="宋体" w:eastAsia="宋体"/>
          <w:sz w:val="24"/>
          <w:szCs w:val="24"/>
          <w:lang w:eastAsia="zh-CN"/>
        </w:rPr>
        <w:t xml:space="preserve"> </w:t>
      </w:r>
      <w:r>
        <w:rPr>
          <w:rFonts w:ascii="宋体" w:hAnsi="宋体" w:eastAsia="宋体"/>
          <w:sz w:val="24"/>
          <w:szCs w:val="24"/>
          <w:lang w:eastAsia="zh-CN"/>
        </w:rPr>
        <w:t xml:space="preserve"> </w:t>
      </w:r>
      <w:r>
        <w:rPr>
          <w:rFonts w:hint="eastAsia" w:ascii="宋体" w:hAnsi="宋体" w:eastAsia="宋体"/>
          <w:sz w:val="24"/>
          <w:szCs w:val="24"/>
          <w:lang w:eastAsia="zh-CN"/>
        </w:rPr>
        <w:t xml:space="preserve"> </w:t>
      </w:r>
      <w:r>
        <w:rPr>
          <w:rFonts w:ascii="宋体" w:hAnsi="宋体" w:eastAsia="宋体"/>
          <w:sz w:val="24"/>
          <w:szCs w:val="24"/>
          <w:lang w:eastAsia="zh-CN"/>
        </w:rPr>
        <w:t>万元或预留</w:t>
      </w:r>
      <w:r>
        <w:rPr>
          <w:rFonts w:hint="eastAsia" w:ascii="宋体" w:hAnsi="宋体" w:eastAsia="宋体"/>
          <w:sz w:val="24"/>
          <w:szCs w:val="24"/>
          <w:lang w:eastAsia="zh-CN"/>
        </w:rPr>
        <w:t xml:space="preserve">    </w:t>
      </w:r>
      <w:r>
        <w:rPr>
          <w:rFonts w:ascii="宋体" w:hAnsi="宋体" w:eastAsia="宋体"/>
          <w:sz w:val="24"/>
          <w:szCs w:val="24"/>
          <w:lang w:eastAsia="zh-CN"/>
        </w:rPr>
        <w:t>%份额。</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 xml:space="preserve">3.本项目支持河南省政府采购合同融资政策。 </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4.本项目是否属于政府购买服务：</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Segoe UI Symbol" w:hAnsi="Segoe UI Symbol" w:eastAsia="宋体" w:cs="Segoe UI Symbol"/>
          <w:sz w:val="24"/>
          <w:szCs w:val="24"/>
          <w:lang w:eastAsia="zh-CN"/>
        </w:rPr>
        <w:t>☑</w:t>
      </w:r>
      <w:r>
        <w:rPr>
          <w:rFonts w:ascii="宋体" w:hAnsi="宋体" w:eastAsia="宋体"/>
          <w:sz w:val="24"/>
          <w:szCs w:val="24"/>
          <w:lang w:eastAsia="zh-CN"/>
        </w:rPr>
        <w:t>否   □是，公益一类事业单位、使用事业编制且由财政拨款保障的群团组织，不得作为承接主体。</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5.本项目是否接受进口产品：</w:t>
      </w:r>
    </w:p>
    <w:p>
      <w:pPr>
        <w:keepNext w:val="0"/>
        <w:keepLines w:val="0"/>
        <w:pageBreakBefore w:val="0"/>
        <w:overflowPunct/>
        <w:topLinePunct w:val="0"/>
        <w:bidi w:val="0"/>
        <w:spacing w:line="500" w:lineRule="exact"/>
        <w:ind w:firstLine="480" w:firstLineChars="200"/>
        <w:rPr>
          <w:rFonts w:hint="eastAsia" w:ascii="宋体" w:hAnsi="宋体" w:eastAsia="宋体" w:cs="宋体"/>
          <w:snapToGrid/>
          <w:sz w:val="24"/>
          <w:szCs w:val="24"/>
          <w:lang w:eastAsia="zh-CN"/>
        </w:rPr>
      </w:pPr>
      <w:r>
        <w:rPr>
          <w:rFonts w:ascii="宋体" w:hAnsi="宋体" w:eastAsia="宋体"/>
          <w:sz w:val="24"/>
          <w:szCs w:val="24"/>
          <w:lang w:eastAsia="zh-CN"/>
        </w:rPr>
        <w:t xml:space="preserve">□接受进口产品  </w:t>
      </w:r>
      <w:r>
        <w:rPr>
          <w:rFonts w:ascii="Segoe UI Symbol" w:hAnsi="Segoe UI Symbol" w:eastAsia="宋体" w:cs="Segoe UI Symbol"/>
          <w:sz w:val="24"/>
          <w:szCs w:val="24"/>
          <w:lang w:eastAsia="zh-CN"/>
        </w:rPr>
        <w:t>☑</w:t>
      </w:r>
      <w:r>
        <w:rPr>
          <w:rFonts w:ascii="宋体" w:hAnsi="宋体" w:eastAsia="宋体"/>
          <w:sz w:val="24"/>
          <w:szCs w:val="24"/>
          <w:lang w:eastAsia="zh-CN"/>
        </w:rPr>
        <w:t>不接受进口产品</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四、获取采购文件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1.时间：2024年</w:t>
      </w:r>
      <w:r>
        <w:rPr>
          <w:rFonts w:hint="eastAsia" w:ascii="宋体" w:hAnsi="宋体" w:eastAsia="宋体" w:cs="宋体"/>
          <w:snapToGrid/>
          <w:sz w:val="24"/>
          <w:szCs w:val="24"/>
          <w:lang w:val="en-US" w:eastAsia="zh-CN"/>
        </w:rPr>
        <w:t>8</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21</w:t>
      </w:r>
      <w:r>
        <w:rPr>
          <w:rFonts w:hint="eastAsia" w:ascii="宋体" w:hAnsi="宋体" w:eastAsia="宋体" w:cs="宋体"/>
          <w:snapToGrid/>
          <w:sz w:val="24"/>
          <w:szCs w:val="24"/>
          <w:lang w:eastAsia="zh-CN"/>
        </w:rPr>
        <w:t>日至2024年</w:t>
      </w:r>
      <w:r>
        <w:rPr>
          <w:rFonts w:hint="eastAsia" w:ascii="宋体" w:hAnsi="宋体" w:eastAsia="宋体" w:cs="宋体"/>
          <w:snapToGrid/>
          <w:sz w:val="24"/>
          <w:szCs w:val="24"/>
          <w:lang w:val="en-US" w:eastAsia="zh-CN"/>
        </w:rPr>
        <w:t>8</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27</w:t>
      </w:r>
      <w:r>
        <w:rPr>
          <w:rFonts w:hint="eastAsia" w:ascii="宋体" w:hAnsi="宋体" w:eastAsia="宋体" w:cs="宋体"/>
          <w:snapToGrid/>
          <w:sz w:val="24"/>
          <w:szCs w:val="24"/>
          <w:lang w:eastAsia="zh-CN"/>
        </w:rPr>
        <w:t xml:space="preserve">日，每天上午08:00至12:00，下午12:00至18:00（北京时间，法定节假日除外。）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4.售价：0元 </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五、响应文件提交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1.截止时间：2024年</w:t>
      </w:r>
      <w:r>
        <w:rPr>
          <w:rFonts w:hint="eastAsia" w:ascii="宋体" w:hAnsi="宋体" w:eastAsia="宋体" w:cs="宋体"/>
          <w:snapToGrid/>
          <w:sz w:val="24"/>
          <w:szCs w:val="24"/>
          <w:lang w:val="en-US" w:eastAsia="zh-CN"/>
        </w:rPr>
        <w:t>9</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4</w:t>
      </w:r>
      <w:r>
        <w:rPr>
          <w:rFonts w:hint="eastAsia" w:ascii="宋体" w:hAnsi="宋体" w:eastAsia="宋体" w:cs="宋体"/>
          <w:snapToGrid/>
          <w:sz w:val="24"/>
          <w:szCs w:val="24"/>
          <w:lang w:eastAsia="zh-CN"/>
        </w:rPr>
        <w:t>日</w:t>
      </w:r>
      <w:r>
        <w:rPr>
          <w:rFonts w:hint="eastAsia" w:ascii="宋体" w:hAnsi="宋体" w:eastAsia="宋体" w:cs="宋体"/>
          <w:snapToGrid/>
          <w:sz w:val="24"/>
          <w:szCs w:val="24"/>
          <w:lang w:val="en-US" w:eastAsia="zh-CN"/>
        </w:rPr>
        <w:t>09</w:t>
      </w:r>
      <w:r>
        <w:rPr>
          <w:rFonts w:hint="eastAsia" w:ascii="宋体" w:hAnsi="宋体" w:eastAsia="宋体" w:cs="宋体"/>
          <w:snapToGrid/>
          <w:sz w:val="24"/>
          <w:szCs w:val="24"/>
          <w:lang w:eastAsia="zh-CN"/>
        </w:rPr>
        <w:t>时</w:t>
      </w:r>
      <w:r>
        <w:rPr>
          <w:rFonts w:hint="eastAsia" w:ascii="宋体" w:hAnsi="宋体" w:eastAsia="宋体" w:cs="宋体"/>
          <w:snapToGrid/>
          <w:sz w:val="24"/>
          <w:szCs w:val="24"/>
          <w:lang w:val="en-US" w:eastAsia="zh-CN"/>
        </w:rPr>
        <w:t>00</w:t>
      </w:r>
      <w:r>
        <w:rPr>
          <w:rFonts w:hint="eastAsia" w:ascii="宋体" w:hAnsi="宋体" w:eastAsia="宋体" w:cs="宋体"/>
          <w:snapToGrid/>
          <w:sz w:val="24"/>
          <w:szCs w:val="24"/>
          <w:lang w:eastAsia="zh-CN"/>
        </w:rPr>
        <w:t xml:space="preserve">分（北京时间）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六、响应文件开启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1.时间：2024年</w:t>
      </w:r>
      <w:r>
        <w:rPr>
          <w:rFonts w:hint="eastAsia" w:ascii="宋体" w:hAnsi="宋体" w:eastAsia="宋体" w:cs="宋体"/>
          <w:snapToGrid/>
          <w:sz w:val="24"/>
          <w:szCs w:val="24"/>
          <w:lang w:val="en-US" w:eastAsia="zh-CN"/>
        </w:rPr>
        <w:t>9</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4</w:t>
      </w:r>
      <w:r>
        <w:rPr>
          <w:rFonts w:hint="eastAsia" w:ascii="宋体" w:hAnsi="宋体" w:eastAsia="宋体" w:cs="宋体"/>
          <w:snapToGrid/>
          <w:sz w:val="24"/>
          <w:szCs w:val="24"/>
          <w:lang w:eastAsia="zh-CN"/>
        </w:rPr>
        <w:t>日</w:t>
      </w:r>
      <w:r>
        <w:rPr>
          <w:rFonts w:hint="eastAsia" w:ascii="宋体" w:hAnsi="宋体" w:eastAsia="宋体" w:cs="宋体"/>
          <w:snapToGrid/>
          <w:sz w:val="24"/>
          <w:szCs w:val="24"/>
          <w:lang w:val="en-US" w:eastAsia="zh-CN"/>
        </w:rPr>
        <w:t>09</w:t>
      </w:r>
      <w:r>
        <w:rPr>
          <w:rFonts w:hint="eastAsia" w:ascii="宋体" w:hAnsi="宋体" w:eastAsia="宋体" w:cs="宋体"/>
          <w:snapToGrid/>
          <w:sz w:val="24"/>
          <w:szCs w:val="24"/>
          <w:lang w:eastAsia="zh-CN"/>
        </w:rPr>
        <w:t xml:space="preserve"> 时</w:t>
      </w:r>
      <w:r>
        <w:rPr>
          <w:rFonts w:hint="eastAsia" w:ascii="宋体" w:hAnsi="宋体" w:eastAsia="宋体" w:cs="宋体"/>
          <w:snapToGrid/>
          <w:sz w:val="24"/>
          <w:szCs w:val="24"/>
          <w:lang w:val="en-US" w:eastAsia="zh-CN"/>
        </w:rPr>
        <w:t>00</w:t>
      </w:r>
      <w:r>
        <w:rPr>
          <w:rFonts w:hint="eastAsia" w:ascii="宋体" w:hAnsi="宋体" w:eastAsia="宋体" w:cs="宋体"/>
          <w:snapToGrid/>
          <w:sz w:val="24"/>
          <w:szCs w:val="24"/>
          <w:lang w:eastAsia="zh-CN"/>
        </w:rPr>
        <w:t xml:space="preserve">分（北京时间）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2.地点：南阳市公共资源交易中心网站https://ggzyjy.nanyang.gov.cn，本项目使用不见面开标，供应商无需前往现场来参与投标。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七、发布公告的媒介及招标公告期限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本次招标公告在《河南省政府采购网》《南阳市公共资源交易中心网》发布， 招标公告期限为三个工作日 。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八、其他补充事宜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二次报价时间及报价注意事项：请供应商在开标结束后，时刻注意系统提示信息，专家小组会在系统上发起二次报价，请供应商及时在规定的时间段内填报二次报价。二次报价结束后方可离开，不进行二次报价的视为放弃磋商。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九、对本次采购提出询问，请按以下方式联系。</w:t>
      </w:r>
    </w:p>
    <w:p>
      <w:pPr>
        <w:keepNext w:val="0"/>
        <w:keepLines w:val="0"/>
        <w:pageBreakBefore w:val="0"/>
        <w:widowControl w:val="0"/>
        <w:shd w:val="clear" w:color="auto" w:fill="FFFFFF"/>
        <w:kinsoku/>
        <w:wordWrap w:val="0"/>
        <w:overflowPunct/>
        <w:topLinePunct w:val="0"/>
        <w:autoSpaceDE/>
        <w:autoSpaceDN/>
        <w:bidi w:val="0"/>
        <w:adjustRightInd/>
        <w:snapToGrid/>
        <w:spacing w:line="52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1. 采购人信息 </w:t>
      </w:r>
    </w:p>
    <w:p>
      <w:pPr>
        <w:keepNext w:val="0"/>
        <w:keepLines w:val="0"/>
        <w:pageBreakBefore w:val="0"/>
        <w:widowControl w:val="0"/>
        <w:shd w:val="clear" w:color="auto" w:fill="FFFFFF"/>
        <w:kinsoku/>
        <w:wordWrap w:val="0"/>
        <w:overflowPunct/>
        <w:topLinePunct w:val="0"/>
        <w:autoSpaceDE/>
        <w:autoSpaceDN/>
        <w:bidi w:val="0"/>
        <w:adjustRightInd/>
        <w:snapToGrid/>
        <w:spacing w:line="50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名称：南阳市卧龙区人民法院 </w:t>
      </w:r>
    </w:p>
    <w:p>
      <w:pPr>
        <w:keepNext w:val="0"/>
        <w:keepLines w:val="0"/>
        <w:pageBreakBefore w:val="0"/>
        <w:widowControl w:val="0"/>
        <w:shd w:val="clear" w:color="auto" w:fill="FFFFFF"/>
        <w:kinsoku/>
        <w:wordWrap w:val="0"/>
        <w:overflowPunct/>
        <w:topLinePunct w:val="0"/>
        <w:autoSpaceDE/>
        <w:autoSpaceDN/>
        <w:bidi w:val="0"/>
        <w:adjustRightInd/>
        <w:snapToGrid/>
        <w:spacing w:line="50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地址：南阳市人民北路968号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联系人：徐先生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联系方式：17603771113</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2.采购代理机构信息（如有）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名称：河南豫尧工程管理有限责任公司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地址：河南省南阳市城乡一体化示范区新店乡菱新路草店村188号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联系人：马女士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联系方式：18703756881</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3.项目联系方式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项目联系人：马女士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联系方式：18703756881</w:t>
      </w:r>
    </w:p>
    <w:p>
      <w:pPr>
        <w:keepNext w:val="0"/>
        <w:keepLines w:val="0"/>
        <w:pageBreakBefore w:val="0"/>
        <w:overflowPunct/>
        <w:topLinePunct w:val="0"/>
        <w:bidi w:val="0"/>
        <w:spacing w:line="500" w:lineRule="exact"/>
        <w:rPr>
          <w:rFonts w:hint="eastAsia" w:eastAsia="宋体"/>
          <w:lang w:eastAsia="zh-CN"/>
        </w:rPr>
      </w:pPr>
    </w:p>
    <w:p>
      <w:pPr>
        <w:kinsoku/>
        <w:autoSpaceDE/>
        <w:autoSpaceDN/>
        <w:adjustRightInd/>
        <w:snapToGrid/>
        <w:spacing w:line="495" w:lineRule="atLeast"/>
        <w:ind w:firstLine="480"/>
        <w:rPr>
          <w:rFonts w:hint="eastAsia" w:ascii="宋体" w:hAnsi="宋体" w:eastAsia="宋体" w:cs="宋体"/>
          <w:snapToGrid/>
          <w:sz w:val="24"/>
          <w:szCs w:val="24"/>
          <w:lang w:eastAsia="zh-CN"/>
        </w:rPr>
      </w:pPr>
      <w:bookmarkStart w:id="19" w:name="_GoBack"/>
      <w:bookmarkEnd w:id="19"/>
    </w:p>
    <w:p>
      <w:pPr>
        <w:kinsoku/>
        <w:autoSpaceDE/>
        <w:autoSpaceDN/>
        <w:adjustRightInd/>
        <w:snapToGrid/>
        <w:spacing w:line="495" w:lineRule="atLeast"/>
        <w:ind w:firstLine="480"/>
        <w:rPr>
          <w:rFonts w:hint="eastAsia" w:ascii="宋体" w:hAnsi="宋体" w:eastAsia="宋体" w:cs="宋体"/>
          <w:snapToGrid/>
          <w:sz w:val="24"/>
          <w:szCs w:val="24"/>
          <w:lang w:eastAsia="zh-CN"/>
        </w:rPr>
      </w:pPr>
    </w:p>
    <w:p>
      <w:pPr>
        <w:kinsoku/>
        <w:autoSpaceDE/>
        <w:autoSpaceDN/>
        <w:adjustRightInd/>
        <w:snapToGrid/>
        <w:spacing w:line="495" w:lineRule="atLeast"/>
        <w:ind w:firstLine="480"/>
        <w:rPr>
          <w:rFonts w:hint="eastAsia" w:ascii="宋体" w:hAnsi="宋体" w:eastAsia="宋体" w:cs="宋体"/>
          <w:snapToGrid/>
          <w:sz w:val="24"/>
          <w:szCs w:val="24"/>
          <w:lang w:eastAsia="zh-CN"/>
        </w:rPr>
      </w:pPr>
    </w:p>
    <w:p>
      <w:pPr>
        <w:pStyle w:val="2"/>
        <w:ind w:left="0" w:right="0"/>
        <w:jc w:val="distribute"/>
        <w:rPr>
          <w:rFonts w:hint="eastAsia"/>
        </w:rPr>
      </w:pPr>
    </w:p>
    <w:p>
      <w:pPr>
        <w:kinsoku/>
        <w:autoSpaceDE/>
        <w:autoSpaceDN/>
        <w:adjustRightInd/>
        <w:snapToGrid/>
        <w:spacing w:line="495" w:lineRule="atLeast"/>
        <w:ind w:firstLine="480"/>
        <w:rPr>
          <w:rFonts w:hint="eastAsia" w:ascii="宋体" w:hAnsi="宋体" w:eastAsia="宋体" w:cs="宋体"/>
          <w:snapToGrid/>
          <w:sz w:val="24"/>
          <w:szCs w:val="24"/>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b/>
          <w:bCs/>
          <w:snapToGrid/>
          <w:color w:val="auto"/>
          <w:kern w:val="2"/>
          <w:sz w:val="28"/>
          <w:szCs w:val="32"/>
          <w:lang w:eastAsia="zh-CN"/>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both"/>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r>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t>第二章 采购需求</w:t>
      </w:r>
    </w:p>
    <w:p>
      <w:pPr>
        <w:widowControl w:val="0"/>
        <w:kinsoku/>
        <w:autoSpaceDE/>
        <w:autoSpaceDN/>
        <w:adjustRightInd/>
        <w:snapToGrid/>
        <w:spacing w:after="120" w:line="360" w:lineRule="auto"/>
        <w:textAlignment w:val="auto"/>
        <w:rPr>
          <w:rFonts w:hint="eastAsia" w:ascii="宋体" w:hAnsi="宋体" w:eastAsia="宋体" w:cs="宋体"/>
          <w:snapToGrid/>
          <w:color w:val="auto"/>
          <w:spacing w:val="-15"/>
          <w:kern w:val="2"/>
          <w:sz w:val="24"/>
          <w:szCs w:val="24"/>
          <w:lang w:eastAsia="zh-CN"/>
        </w:rPr>
      </w:pPr>
      <w:r>
        <w:rPr>
          <w:rFonts w:hint="eastAsia" w:ascii="宋体" w:hAnsi="宋体" w:eastAsia="宋体" w:cs="宋体"/>
          <w:snapToGrid/>
          <w:color w:val="auto"/>
          <w:spacing w:val="-1"/>
          <w:kern w:val="2"/>
          <w:sz w:val="24"/>
          <w:szCs w:val="24"/>
          <w:lang w:eastAsia="zh-CN"/>
          <w14:textOutline w14:w="1536" w14:cap="flat" w14:cmpd="sng" w14:algn="ctr">
            <w14:solidFill>
              <w14:srgbClr w14:val="000000"/>
            </w14:solidFill>
            <w14:prstDash w14:val="solid"/>
            <w14:miter w14:val="0"/>
          </w14:textOutline>
        </w:rPr>
        <w:t>一、采购内容及要求：</w:t>
      </w:r>
    </w:p>
    <w:tbl>
      <w:tblPr>
        <w:tblStyle w:val="23"/>
        <w:tblW w:w="10276" w:type="dxa"/>
        <w:jc w:val="center"/>
        <w:tblLayout w:type="fixed"/>
        <w:tblCellMar>
          <w:top w:w="0" w:type="dxa"/>
          <w:left w:w="108" w:type="dxa"/>
          <w:bottom w:w="0" w:type="dxa"/>
          <w:right w:w="108" w:type="dxa"/>
        </w:tblCellMar>
      </w:tblPr>
      <w:tblGrid>
        <w:gridCol w:w="607"/>
        <w:gridCol w:w="1023"/>
        <w:gridCol w:w="7152"/>
        <w:gridCol w:w="644"/>
        <w:gridCol w:w="850"/>
      </w:tblGrid>
      <w:tr>
        <w:tblPrEx>
          <w:tblCellMar>
            <w:top w:w="0" w:type="dxa"/>
            <w:left w:w="108" w:type="dxa"/>
            <w:bottom w:w="0" w:type="dxa"/>
            <w:right w:w="108" w:type="dxa"/>
          </w:tblCellMar>
        </w:tblPrEx>
        <w:trPr>
          <w:trHeight w:val="642" w:hRule="atLeast"/>
          <w:jc w:val="center"/>
        </w:trPr>
        <w:tc>
          <w:tcPr>
            <w:tcW w:w="10276" w:type="dxa"/>
            <w:gridSpan w:val="5"/>
            <w:tcBorders>
              <w:top w:val="nil"/>
              <w:left w:val="nil"/>
              <w:bottom w:val="nil"/>
              <w:right w:val="nil"/>
            </w:tcBorders>
            <w:shd w:val="clear" w:color="auto" w:fill="auto"/>
            <w:vAlign w:val="center"/>
          </w:tcPr>
          <w:p>
            <w:pPr>
              <w:jc w:val="center"/>
              <w:textAlignment w:val="center"/>
              <w:rPr>
                <w:rFonts w:hint="eastAsia" w:ascii="宋体" w:hAnsi="宋体" w:eastAsia="宋体" w:cs="宋体"/>
                <w:b/>
                <w:bCs/>
                <w:sz w:val="32"/>
                <w:szCs w:val="32"/>
                <w:lang w:eastAsia="zh-CN" w:bidi="ar"/>
              </w:rPr>
            </w:pPr>
            <w:r>
              <w:rPr>
                <w:rFonts w:hint="eastAsia" w:ascii="宋体" w:hAnsi="宋体" w:eastAsia="宋体" w:cs="宋体"/>
                <w:b/>
                <w:bCs/>
                <w:sz w:val="32"/>
                <w:szCs w:val="32"/>
                <w:lang w:eastAsia="zh-CN" w:bidi="ar"/>
              </w:rPr>
              <w:t xml:space="preserve">融合型智慧庭审系统方案后端应用支撑系统       </w:t>
            </w:r>
          </w:p>
          <w:p>
            <w:pPr>
              <w:ind w:left="349" w:leftChars="103" w:hanging="133" w:hangingChars="55"/>
              <w:jc w:val="right"/>
              <w:textAlignment w:val="center"/>
              <w:rPr>
                <w:rFonts w:hint="eastAsia" w:ascii="宋体" w:hAnsi="宋体" w:eastAsia="宋体" w:cs="宋体"/>
                <w:b/>
                <w:bCs/>
                <w:sz w:val="24"/>
                <w:szCs w:val="24"/>
                <w:lang w:eastAsia="zh-CN" w:bidi="ar"/>
              </w:rPr>
            </w:pPr>
            <w:r>
              <w:rPr>
                <w:rFonts w:hint="eastAsia" w:ascii="宋体" w:hAnsi="宋体" w:eastAsia="宋体" w:cs="宋体"/>
                <w:b/>
                <w:bCs/>
                <w:sz w:val="24"/>
                <w:szCs w:val="24"/>
                <w:lang w:eastAsia="zh-CN" w:bidi="ar"/>
              </w:rPr>
              <w:t xml:space="preserve">                                                                       </w:t>
            </w:r>
          </w:p>
        </w:tc>
      </w:tr>
      <w:tr>
        <w:tblPrEx>
          <w:tblCellMar>
            <w:top w:w="0" w:type="dxa"/>
            <w:left w:w="108" w:type="dxa"/>
            <w:bottom w:w="0" w:type="dxa"/>
            <w:right w:w="108" w:type="dxa"/>
          </w:tblCellMar>
        </w:tblPrEx>
        <w:trPr>
          <w:trHeight w:val="553" w:hRule="atLeast"/>
          <w:jc w:val="center"/>
        </w:trPr>
        <w:tc>
          <w:tcPr>
            <w:tcW w:w="60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序号</w:t>
            </w:r>
          </w:p>
        </w:tc>
        <w:tc>
          <w:tcPr>
            <w:tcW w:w="102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设备名称</w:t>
            </w:r>
          </w:p>
        </w:tc>
        <w:tc>
          <w:tcPr>
            <w:tcW w:w="71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功能参数</w:t>
            </w:r>
          </w:p>
        </w:tc>
        <w:tc>
          <w:tcPr>
            <w:tcW w:w="64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数量</w:t>
            </w:r>
          </w:p>
        </w:tc>
        <w:tc>
          <w:tcPr>
            <w:tcW w:w="8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rPr>
              <w:t>单</w:t>
            </w:r>
            <w:r>
              <w:rPr>
                <w:rFonts w:hint="eastAsia" w:ascii="宋体" w:hAnsi="宋体" w:eastAsia="宋体" w:cs="宋体"/>
                <w:b/>
                <w:bCs/>
                <w:sz w:val="24"/>
                <w:szCs w:val="24"/>
                <w:lang w:bidi="ar"/>
              </w:rPr>
              <w:t>位</w:t>
            </w:r>
          </w:p>
        </w:tc>
      </w:tr>
      <w:tr>
        <w:tblPrEx>
          <w:tblCellMar>
            <w:top w:w="0" w:type="dxa"/>
            <w:left w:w="108" w:type="dxa"/>
            <w:bottom w:w="0" w:type="dxa"/>
            <w:right w:w="108" w:type="dxa"/>
          </w:tblCellMar>
        </w:tblPrEx>
        <w:trPr>
          <w:trHeight w:val="553"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sz w:val="24"/>
                <w:szCs w:val="24"/>
                <w:lang w:bidi="ar"/>
              </w:rPr>
              <w:t>1</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sz w:val="24"/>
                <w:szCs w:val="24"/>
                <w:lang w:bidi="ar"/>
              </w:rPr>
              <w:t>融合式庭审管理平台</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通过在法院搭建“融合式庭审管理平台”，建设支持远程审讯功能的融合型智</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慧法庭，实现跨级、跨域进行远程审讯，融合式庭审管理平台为智慧庭审、科技法</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庭、远程提讯、四方庭审等提供支撑能力。</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融合式庭审管理平台以提升庭审效率为核心，依托电子卷宗、法律法规库、类案系</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统、电子签章等信息化技术，从庭前会议、庭审资源预约、远程庭审排期、庭审过</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程（智能庭审、多方远程庭审、远程质证）直至案件审结全过程进行智能化辅助办</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案，满足智慧法庭建设需要及司法改革审判运行新模式要求，实现法官高效、便捷</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办案，庭审全过程智能化管理。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1、法庭资源预约</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便捷的查看每个法庭及看守所的排期占用情况，选择适合的法庭进行排期，实现法</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庭、看守所等审判资源的合理应用，发挥最大价值。</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2、庭审信息管理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本系统对接法院审判流程管理系统、电子卷宗管理系统，实现对案件基本信息、卷</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宗信息的管理及调用，笔录、证据信息回传等功能。</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3、监狱状态管理：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支持对监狱及设备状态管理，获取监狱建设情况，按地区分别展示各地区监狱；</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支持查看监狱设备状态，监狱讯问室的名称、是否支持签字、是否支持质证、是否</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支持捺印、是否支持送达，及监狱设备的名称、设备 IP、设备状态的监控及配置。</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4、看守所状态管理：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支持对看守所提讯室及设备状态管理，获取看守所建设情况，按地区分别展示</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各地区看守所；</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支持查看看守所设备状态，提讯室的名称、是否支持签字、是否支持质证、是否支</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持捺印、是否支持送达，及监狱设备的名称、设备 IP、设备状态的监控及配置。</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5、跨域排期管理：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平台自动获取案件信息、嫌疑人信息，对看守所、监狱进行远程审讯案件排期，嫌疑人不需要押送到法院即可参与庭审，不再受地域限制，可通过排期管理查看监狱及看守所一周内排期情</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况。</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6、证据交换：</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支持法院和检察院、看守所、监狱以及辩护律师之间通过平台进行线上证据交换和</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线上查看电子证据材料等功能。</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7、卷宗管理：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支持通过对接获取系统内案件卷宗材料，同时对庭前、庭中上传的证据材料进行管</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理，获取的卷宗须以目录树形式展示，可对案件的卷宗进行同步、更新、批量下载</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等操作，在查看电子卷宗过程中支持对卷宗材料进行缩放、最大化、旋转等操作。</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8、庭审录音录像管理：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支持对本地庭审、远程提讯、三方庭审及四方庭审等各类庭审模式下的庭审录音录</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像进行统一管理，支持以片段形式展示各路单独的庭审录像，可对庭审录像进行查</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看、全屏、下载、画中画操作。</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9、签字笔录管理：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支持远程审讯各方(法院、检察院、看守所、监狱端、辩护人等)对审讯笔录进行线</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上签字，签字捺印后，可形成完整的已签字笔录文件回传到系统。支持查看本案当</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事人的签字笔录，可对签字笔录进行下载、打印操作，签字笔录为 PDF 格式；</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10、法庭管理：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法包括对法庭 ID、法庭名称、法庭内设备、法庭状态、直播流、主机、等进行管理；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11、过程评价：法院端可通过审讯音视频对远程审讯过程中的看守所、监狱的设备、网络、现场灯光、图像、声音等情况进行评价。</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12、系统管理：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支持对用户、操作权限、系统日志等进行统一管理。</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13、统计分析：</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支持对数据进行统计分析展示，为法院领导提供决策辅助。</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14、庭审录像存储及回放：</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实现庭审结束后的音视频文件自动归档，支持光盘刻录，支持对历史案件对应的音</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视频文件进行回放点播，回放点播过程可进行正常播放、画面暂停、随机拖放等常</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规控制。</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15、类案推送：利用人工智能技术，通过接入主流法律知识及案例大数据融合平台，</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获取案情相类似的裁判文书作为法官判案参考。</w:t>
            </w:r>
          </w:p>
          <w:p>
            <w:pPr>
              <w:ind w:right="-454" w:rightChars="-216"/>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16、法律法规：利用人工智能技术，通过接入主流法律法规平台，获得相关法律文</w:t>
            </w:r>
          </w:p>
          <w:p>
            <w:pPr>
              <w:ind w:right="-454" w:rightChars="-216"/>
              <w:textAlignment w:val="center"/>
              <w:rPr>
                <w:rFonts w:hint="eastAsia" w:ascii="宋体" w:hAnsi="宋体" w:eastAsia="宋体" w:cs="宋体"/>
                <w:b/>
                <w:bCs/>
                <w:sz w:val="24"/>
                <w:szCs w:val="24"/>
                <w:lang w:eastAsia="zh-CN"/>
              </w:rPr>
            </w:pPr>
            <w:r>
              <w:rPr>
                <w:rFonts w:hint="eastAsia" w:ascii="宋体" w:hAnsi="宋体" w:eastAsia="宋体" w:cs="宋体"/>
                <w:sz w:val="24"/>
                <w:szCs w:val="24"/>
                <w:lang w:eastAsia="zh-CN" w:bidi="ar"/>
              </w:rPr>
              <w:t>件文本及条文释义、理解适用、关联法条、统计分析服务。</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sz w:val="24"/>
                <w:szCs w:val="24"/>
                <w:lang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b/>
                <w:bCs/>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494"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中间件</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提供内置的JMS服务，并支持将TongLINK/Q等第三方消息中间件作为消息服务代理。</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494"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3</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数据库</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1、信创关系型数据库软件，产品需兼容主流信创CPU芯片和主流信创操作系统。</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2、为提供联机交易处理能力，能够通过TPC-C基准测试，测试中3000仓数据量性能能达到200万tpmC以上。</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3、产品支持数据库迁移评估</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4、支持空间数据功能，支持丰富的原生几何数据类型，包括点、线、面、多点、多线、多面、几何集合；支持EWKT、EWKB和Canonical格式的几何对象；</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5、提供在线多种源库(Oracle、SQLServer、MySQL、DB2)和目标库对象语法自动转换功能, 即用户可以在web端输入源库sql脚本, 能自动生成目标库对应的sql脚本, 降低对目标库语法学习成本和应用迁移门槛, 提高迁移效率。</w:t>
            </w:r>
          </w:p>
          <w:p>
            <w:pPr>
              <w:textAlignment w:val="center"/>
              <w:rPr>
                <w:rFonts w:hint="eastAsia" w:ascii="宋体" w:hAnsi="宋体" w:eastAsia="宋体" w:cs="宋体"/>
                <w:sz w:val="24"/>
                <w:szCs w:val="24"/>
              </w:rPr>
            </w:pPr>
            <w:r>
              <w:rPr>
                <w:rFonts w:hint="eastAsia" w:ascii="宋体" w:hAnsi="宋体" w:eastAsia="宋体" w:cs="宋体"/>
                <w:sz w:val="24"/>
                <w:szCs w:val="24"/>
                <w:lang w:bidi="ar"/>
              </w:rPr>
              <w:t>6支持RANGE数据类型、表继承、Listen、Notify、混合分区等功能。</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套</w:t>
            </w:r>
          </w:p>
        </w:tc>
      </w:tr>
      <w:tr>
        <w:tblPrEx>
          <w:tblCellMar>
            <w:top w:w="0" w:type="dxa"/>
            <w:left w:w="108" w:type="dxa"/>
            <w:bottom w:w="0" w:type="dxa"/>
            <w:right w:w="108" w:type="dxa"/>
          </w:tblCellMar>
        </w:tblPrEx>
        <w:trPr>
          <w:trHeight w:val="897"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4</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应用服务器</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bidi="ar"/>
              </w:rPr>
              <w:t>2颗鲲鹏920 3210处理器（24核，2.6GHz），2条32G内存，4块4T SATA企业级硬盘，9460-8I阵列卡，4个千兆电口，2块900W电源，含操作系统；</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台</w:t>
            </w:r>
          </w:p>
        </w:tc>
      </w:tr>
      <w:tr>
        <w:tblPrEx>
          <w:tblCellMar>
            <w:top w:w="0" w:type="dxa"/>
            <w:left w:w="108" w:type="dxa"/>
            <w:bottom w:w="0" w:type="dxa"/>
            <w:right w:w="108" w:type="dxa"/>
          </w:tblCellMar>
        </w:tblPrEx>
        <w:trPr>
          <w:trHeight w:val="2754"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5</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互联网法庭云平台（外网）</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具有用户及权限管理、互联网科技法庭的创建、案件排期管理、视频网关设备管理、互联庭审控制管理、当事人应用管理等；</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为互联网庭审应用提供统一的当事人移动端 APP 应用程序下载；</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具有人脸识别身份认证功能，用户通过认证方可登陆互联网虚拟法庭参加审；</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庭审参与人均可实时看到法官、书记员、另一方当事人的音视频画面；</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支持查询互联网庭审排期安排；</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支持显示当前的庭审基本信息、视频分割画面、庭审参与人员列表；</w:t>
            </w:r>
          </w:p>
        </w:tc>
        <w:tc>
          <w:tcPr>
            <w:tcW w:w="64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套/1年</w:t>
            </w:r>
          </w:p>
        </w:tc>
      </w:tr>
      <w:tr>
        <w:tblPrEx>
          <w:tblCellMar>
            <w:top w:w="0" w:type="dxa"/>
            <w:left w:w="108" w:type="dxa"/>
            <w:bottom w:w="0" w:type="dxa"/>
            <w:right w:w="108" w:type="dxa"/>
          </w:tblCellMar>
        </w:tblPrEx>
        <w:trPr>
          <w:trHeight w:val="3343"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6</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庭审云服务</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专为庭审音视频交互设计，用户提供超低延时多人音视频互动。</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丢包率高达 30% 的情况下，视频依旧保持不黑屏、不花屏；</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 xml:space="preserve">丢包率高达 80% 的情况下，音频依旧保持声连贯、语义可理解； </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视频支持 H.264 SVC编解码协议，能够适应不同线路带宽、不同设备能力网络环境的组需求；</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音频支持 G.711 、G.722 、OPUS 协议，支持 48K采样率的全带音频；</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通讯信令道支持SSL加密，媒体传输支持 AES256 加密；</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单一互联网法庭支持≥ 2路互联网端当事人音视频 接入；</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提供全球部署的音视频交互云服务；</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提供全年 7*24 小时云服务网上技术支持；</w:t>
            </w:r>
          </w:p>
        </w:tc>
        <w:tc>
          <w:tcPr>
            <w:tcW w:w="64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eastAsia="zh-CN" w:bidi="ar"/>
              </w:rPr>
            </w:pPr>
          </w:p>
        </w:tc>
      </w:tr>
      <w:tr>
        <w:tblPrEx>
          <w:tblCellMar>
            <w:top w:w="0" w:type="dxa"/>
            <w:left w:w="108" w:type="dxa"/>
            <w:bottom w:w="0" w:type="dxa"/>
            <w:right w:w="108" w:type="dxa"/>
          </w:tblCellMar>
        </w:tblPrEx>
        <w:trPr>
          <w:trHeight w:val="1015"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7</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高清视频矩阵</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8*8高清视频矩阵</w:t>
            </w:r>
          </w:p>
        </w:tc>
        <w:tc>
          <w:tcPr>
            <w:tcW w:w="64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台</w:t>
            </w:r>
          </w:p>
        </w:tc>
      </w:tr>
      <w:tr>
        <w:tblPrEx>
          <w:tblCellMar>
            <w:top w:w="0" w:type="dxa"/>
            <w:left w:w="108" w:type="dxa"/>
            <w:bottom w:w="0" w:type="dxa"/>
            <w:right w:w="108" w:type="dxa"/>
          </w:tblCellMar>
        </w:tblPrEx>
        <w:trPr>
          <w:trHeight w:val="2194"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8</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视频网关服务器</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部署在法院外网 ，交互视频到互联网；</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1. 设备高度≤2U；</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2.≥ 四核处理器，≥8GB 内存；</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3. ≥2路高清音视频信号输入接口，支持2路高清视频编码；</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4.≥ 2路 HDMI高清视频信号输出接口，支持2路高清视频信号实时解码；</w:t>
            </w:r>
          </w:p>
        </w:tc>
        <w:tc>
          <w:tcPr>
            <w:tcW w:w="64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台</w:t>
            </w:r>
          </w:p>
        </w:tc>
      </w:tr>
      <w:tr>
        <w:tblPrEx>
          <w:tblCellMar>
            <w:top w:w="0" w:type="dxa"/>
            <w:left w:w="108" w:type="dxa"/>
            <w:bottom w:w="0" w:type="dxa"/>
            <w:right w:w="108" w:type="dxa"/>
          </w:tblCellMar>
        </w:tblPrEx>
        <w:trPr>
          <w:trHeight w:val="1876"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视频网关软件</w:t>
            </w:r>
          </w:p>
        </w:tc>
        <w:tc>
          <w:tcPr>
            <w:tcW w:w="7152"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与音视频云系统实时数据通信，内嵌于视频网关中，完成互联网庭审音视频交互功能。</w:t>
            </w:r>
          </w:p>
          <w:p>
            <w:pPr>
              <w:textAlignment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具有计算机软件著作权登记证书及中国软件评测中心出具的软件测试报告。</w:t>
            </w:r>
          </w:p>
        </w:tc>
        <w:tc>
          <w:tcPr>
            <w:tcW w:w="644"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eastAsia="zh-CN" w:bidi="ar"/>
              </w:rPr>
              <w:t>套</w:t>
            </w:r>
          </w:p>
        </w:tc>
      </w:tr>
    </w:tbl>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pStyle w:val="9"/>
        <w:kinsoku/>
        <w:wordWrap w:val="0"/>
        <w:spacing w:line="360" w:lineRule="auto"/>
        <w:jc w:val="both"/>
        <w:outlineLvl w:val="2"/>
        <w:rPr>
          <w:rFonts w:hint="eastAsia"/>
          <w:snapToGrid/>
          <w:color w:val="auto"/>
          <w:spacing w:val="-1"/>
          <w:kern w:val="2"/>
          <w:sz w:val="24"/>
          <w:szCs w:val="24"/>
          <w:lang w:eastAsia="zh-CN"/>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商务要求</w:t>
      </w:r>
    </w:p>
    <w:p>
      <w:pPr>
        <w:widowControl w:val="0"/>
        <w:kinsoku/>
        <w:wordWrap w:val="0"/>
        <w:autoSpaceDE/>
        <w:autoSpaceDN/>
        <w:adjustRightInd/>
        <w:snapToGrid/>
        <w:spacing w:after="120" w:line="360" w:lineRule="auto"/>
        <w:ind w:firstLine="476" w:firstLineChars="200"/>
        <w:jc w:val="both"/>
        <w:textAlignment w:val="auto"/>
        <w:rPr>
          <w:rFonts w:hint="eastAsia" w:ascii="宋体" w:hAnsi="宋体" w:eastAsia="宋体" w:cs="宋体"/>
          <w:snapToGrid/>
          <w:color w:val="auto"/>
          <w:spacing w:val="-1"/>
          <w:kern w:val="2"/>
          <w:sz w:val="24"/>
          <w:szCs w:val="24"/>
          <w:lang w:eastAsia="zh-CN"/>
        </w:rPr>
      </w:pPr>
      <w:r>
        <w:rPr>
          <w:rFonts w:hint="eastAsia" w:ascii="宋体" w:hAnsi="宋体" w:eastAsia="宋体" w:cs="宋体"/>
          <w:snapToGrid/>
          <w:color w:val="auto"/>
          <w:spacing w:val="-1"/>
          <w:kern w:val="2"/>
          <w:sz w:val="24"/>
          <w:szCs w:val="24"/>
          <w:lang w:eastAsia="zh-CN"/>
        </w:rPr>
        <w:t>1.交货时间：</w:t>
      </w:r>
      <w:r>
        <w:rPr>
          <w:rFonts w:hint="eastAsia" w:ascii="宋体" w:hAnsi="宋体" w:eastAsia="宋体" w:cs="宋体"/>
          <w:snapToGrid/>
          <w:kern w:val="2"/>
          <w:sz w:val="24"/>
          <w:szCs w:val="24"/>
          <w:lang w:eastAsia="zh-CN"/>
        </w:rPr>
        <w:t>合同签订之日起</w:t>
      </w:r>
      <w:r>
        <w:rPr>
          <w:rFonts w:hint="eastAsia" w:ascii="Calibri" w:hAnsi="Calibri" w:eastAsia="宋体" w:cs="宋体"/>
          <w:snapToGrid/>
          <w:kern w:val="2"/>
          <w:sz w:val="24"/>
          <w:szCs w:val="24"/>
          <w:lang w:eastAsia="zh-CN"/>
        </w:rPr>
        <w:t>15</w:t>
      </w:r>
      <w:r>
        <w:rPr>
          <w:rFonts w:hint="eastAsia" w:ascii="宋体" w:hAnsi="宋体" w:eastAsia="宋体" w:cs="宋体"/>
          <w:snapToGrid/>
          <w:kern w:val="2"/>
          <w:sz w:val="24"/>
          <w:szCs w:val="24"/>
          <w:lang w:eastAsia="zh-CN"/>
        </w:rPr>
        <w:t>日历天</w:t>
      </w:r>
    </w:p>
    <w:p>
      <w:pPr>
        <w:widowControl w:val="0"/>
        <w:kinsoku/>
        <w:wordWrap w:val="0"/>
        <w:autoSpaceDE/>
        <w:autoSpaceDN/>
        <w:adjustRightInd/>
        <w:snapToGrid/>
        <w:spacing w:after="120" w:line="360" w:lineRule="auto"/>
        <w:ind w:firstLine="476"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1"/>
          <w:kern w:val="2"/>
          <w:sz w:val="24"/>
          <w:szCs w:val="24"/>
          <w:lang w:eastAsia="zh-CN"/>
        </w:rPr>
        <w:t>交货地点</w:t>
      </w:r>
      <w:r>
        <w:rPr>
          <w:rFonts w:hint="eastAsia" w:ascii="宋体" w:hAnsi="宋体" w:eastAsia="宋体" w:cs="宋体"/>
          <w:snapToGrid/>
          <w:color w:val="auto"/>
          <w:spacing w:val="-2"/>
          <w:kern w:val="2"/>
          <w:sz w:val="24"/>
          <w:szCs w:val="24"/>
          <w:lang w:eastAsia="zh-CN"/>
        </w:rPr>
        <w:t>：南阳市卧龙区人民法院</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2.付款方式（应符合南阳市财政局关于印发《关于压缩各环节时间进一步优化政府采购营商环境的通知》（宛财购〔2022〕5号）的要求）</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3.包装和运输（如适用，须满足《关于印发〈商品包装政府采购需求标准（试行）〉、〈快递包装政府采购需求标准（试行）〉的通知》（财办库﹝2020﹞123号）</w:t>
      </w:r>
    </w:p>
    <w:p>
      <w:pPr>
        <w:widowControl w:val="0"/>
        <w:kinsoku/>
        <w:wordWrap w:val="0"/>
        <w:autoSpaceDE/>
        <w:autoSpaceDN/>
        <w:adjustRightInd/>
        <w:snapToGrid/>
        <w:spacing w:after="120" w:line="360" w:lineRule="auto"/>
        <w:ind w:firstLine="448"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8"/>
          <w:kern w:val="2"/>
          <w:sz w:val="24"/>
          <w:szCs w:val="24"/>
          <w:lang w:eastAsia="zh-CN"/>
        </w:rPr>
        <w:t>4.质保期</w:t>
      </w:r>
      <w:r>
        <w:rPr>
          <w:rFonts w:hint="eastAsia" w:ascii="宋体" w:hAnsi="宋体" w:eastAsia="宋体" w:cs="宋体"/>
          <w:snapToGrid/>
          <w:color w:val="auto"/>
          <w:spacing w:val="-3"/>
          <w:kern w:val="2"/>
          <w:sz w:val="24"/>
          <w:szCs w:val="24"/>
          <w:lang w:eastAsia="zh-CN"/>
        </w:rPr>
        <w:t>：</w:t>
      </w:r>
      <w:r>
        <w:rPr>
          <w:rFonts w:hint="eastAsia" w:ascii="宋体" w:hAnsi="宋体" w:eastAsia="宋体" w:cs="宋体"/>
          <w:snapToGrid/>
          <w:kern w:val="2"/>
          <w:sz w:val="24"/>
          <w:szCs w:val="24"/>
          <w:lang w:eastAsia="zh-CN"/>
        </w:rPr>
        <w:t>硬件提供3年整机质保，1年上门服务，7×24小时电话响应支持；</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5"/>
          <w:kern w:val="2"/>
          <w:sz w:val="24"/>
          <w:szCs w:val="24"/>
          <w:lang w:eastAsia="zh-CN"/>
        </w:rPr>
      </w:pPr>
      <w:r>
        <w:rPr>
          <w:rFonts w:hint="eastAsia" w:ascii="宋体" w:hAnsi="宋体" w:eastAsia="宋体" w:cs="宋体"/>
          <w:snapToGrid/>
          <w:color w:val="auto"/>
          <w:spacing w:val="-2"/>
          <w:kern w:val="2"/>
          <w:sz w:val="24"/>
          <w:szCs w:val="24"/>
          <w:lang w:eastAsia="zh-CN"/>
        </w:rPr>
        <w:t>5.</w:t>
      </w:r>
      <w:r>
        <w:rPr>
          <w:rFonts w:hint="eastAsia" w:ascii="宋体" w:hAnsi="宋体" w:eastAsia="宋体" w:cs="宋体"/>
          <w:snapToGrid/>
          <w:color w:val="auto"/>
          <w:spacing w:val="-5"/>
          <w:kern w:val="2"/>
          <w:sz w:val="24"/>
          <w:szCs w:val="24"/>
          <w:lang w:eastAsia="zh-CN"/>
        </w:rPr>
        <w:t>关于强制节能产品的要求：</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 xml:space="preserve">5.1强制采购的节能产品:计算机、打印机、显示器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5.2投标人所投产品如属于政府优先节能产品或环境标志产品或无线局域网产品，应提供处于有效期之内认证证书等相关证明，在评标时予以优先采购。</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rPr>
        <w:t>上述政策以国家发布最新为准，未尽事宜，按国家有关规定执行。</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6.验收标准及方式：</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6.1验收小组应由采购人、使用单位、受邀的第三方组成。</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6.2货物验收：</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6.3安装验收：</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货物及组装材料验收合格后方可进行安装调试，安装调试应以达到采购人正常使用为标准。中标人向验收小组发出全面验收邀请。</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6.4中标人在要求期限内不能履行合同的，采购人有权终止合同，由此造成的经济损失及社会负面影响均有中标人承担，并依法报请南阳市政府采购监督管理部门处理。</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7.□有样品，样品提供要求、方式、摆放时间及地点</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ascii="Segoe UI Symbol" w:hAnsi="Segoe UI Symbol" w:eastAsia="宋体" w:cs="Segoe UI Symbol"/>
          <w:snapToGrid/>
          <w:color w:val="auto"/>
          <w:kern w:val="2"/>
          <w:sz w:val="24"/>
          <w:szCs w:val="24"/>
          <w:lang w:eastAsia="zh-CN"/>
        </w:rPr>
        <w:t>☑</w:t>
      </w:r>
      <w:r>
        <w:rPr>
          <w:rFonts w:hint="eastAsia" w:ascii="宋体" w:hAnsi="宋体" w:eastAsia="宋体" w:cs="宋体"/>
          <w:snapToGrid/>
          <w:color w:val="auto"/>
          <w:kern w:val="2"/>
          <w:sz w:val="24"/>
          <w:szCs w:val="24"/>
          <w:lang w:eastAsia="zh-CN"/>
        </w:rPr>
        <w:t>无样品。</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 □有演示，演示要求、内容、方式及地点。鼓励使用不见面演示。</w:t>
      </w:r>
    </w:p>
    <w:p>
      <w:pPr>
        <w:widowControl w:val="0"/>
        <w:kinsoku/>
        <w:wordWrap w:val="0"/>
        <w:autoSpaceDE/>
        <w:autoSpaceDN/>
        <w:adjustRightInd/>
        <w:snapToGrid/>
        <w:spacing w:after="12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ascii="Segoe UI Symbol" w:hAnsi="Segoe UI Symbol" w:eastAsia="宋体" w:cs="Segoe UI Symbol"/>
          <w:snapToGrid/>
          <w:color w:val="auto"/>
          <w:kern w:val="2"/>
          <w:sz w:val="24"/>
          <w:szCs w:val="24"/>
          <w:lang w:eastAsia="zh-CN"/>
        </w:rPr>
        <w:t>☑</w:t>
      </w:r>
      <w:r>
        <w:rPr>
          <w:rFonts w:hint="eastAsia" w:ascii="宋体" w:hAnsi="宋体" w:eastAsia="宋体" w:cs="宋体"/>
          <w:snapToGrid/>
          <w:color w:val="auto"/>
          <w:kern w:val="2"/>
          <w:sz w:val="24"/>
          <w:szCs w:val="24"/>
          <w:lang w:eastAsia="zh-CN"/>
        </w:rPr>
        <w:t>无演示。</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spacing w:val="-1"/>
          <w:kern w:val="2"/>
          <w:sz w:val="24"/>
          <w:szCs w:val="24"/>
          <w:lang w:eastAsia="zh-CN"/>
        </w:rPr>
      </w:pPr>
      <w:r>
        <w:rPr>
          <w:rFonts w:hint="eastAsia" w:ascii="宋体" w:hAnsi="宋体" w:eastAsia="宋体" w:cs="宋体"/>
          <w:snapToGrid/>
          <w:color w:val="auto"/>
          <w:kern w:val="2"/>
          <w:sz w:val="24"/>
          <w:szCs w:val="24"/>
          <w:lang w:eastAsia="zh-CN"/>
        </w:rPr>
        <w:t>10.</w:t>
      </w:r>
      <w:r>
        <w:rPr>
          <w:rFonts w:hint="eastAsia" w:ascii="宋体" w:hAnsi="宋体" w:eastAsia="宋体" w:cs="宋体"/>
          <w:snapToGrid/>
          <w:color w:val="auto"/>
          <w:spacing w:val="-1"/>
          <w:kern w:val="2"/>
          <w:sz w:val="24"/>
          <w:szCs w:val="24"/>
          <w:lang w:eastAsia="zh-CN"/>
        </w:rPr>
        <w:t>其他要求：中标人在供货安装调试过程中，如对采购人原设备、物品有损坏的应无偿恢复。</w:t>
      </w:r>
    </w:p>
    <w:bookmarkEnd w:id="3"/>
    <w:bookmarkEnd w:id="4"/>
    <w:bookmarkEnd w:id="5"/>
    <w:bookmarkEnd w:id="6"/>
    <w:bookmarkEnd w:id="7"/>
    <w:bookmarkEnd w:id="8"/>
    <w:p>
      <w:pPr>
        <w:pStyle w:val="9"/>
        <w:kinsoku/>
        <w:wordWrap w:val="0"/>
        <w:spacing w:line="360" w:lineRule="auto"/>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2" w:name="_Toc25051"/>
      <w:bookmarkStart w:id="13" w:name="_Toc503213130"/>
      <w:bookmarkStart w:id="14" w:name="_Toc270604619"/>
    </w:p>
    <w:p>
      <w:pPr>
        <w:pStyle w:val="9"/>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p>
    <w:p>
      <w:pPr>
        <w:pStyle w:val="9"/>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val="0"/>
          </w14:textOutline>
        </w:rPr>
      </w:pPr>
    </w:p>
    <w:p>
      <w:pPr>
        <w:pStyle w:val="9"/>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23"/>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kinsoku/>
              <w:wordWrap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39"/>
              <w:kinsoku/>
              <w:wordWrap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39"/>
              <w:kinsoku/>
              <w:wordWrap w:val="0"/>
              <w:spacing w:before="25" w:line="207" w:lineRule="auto"/>
              <w:ind w:left="126"/>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pPr>
              <w:pStyle w:val="39"/>
              <w:kinsoku/>
              <w:wordWrap w:val="0"/>
              <w:spacing w:before="25" w:line="207" w:lineRule="auto"/>
              <w:ind w:left="126"/>
              <w:jc w:val="both"/>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37" w:line="238"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pPr>
              <w:pStyle w:val="39"/>
              <w:kinsoku/>
              <w:wordWrap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39"/>
              <w:kinsoku/>
              <w:wordWrap w:val="0"/>
              <w:spacing w:before="21" w:line="207"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9"/>
              <w:kinsoku/>
              <w:wordWrap w:val="0"/>
              <w:jc w:val="both"/>
              <w:rPr>
                <w:rFonts w:hint="eastAsia" w:asciiTheme="minorEastAsia" w:hAnsiTheme="minorEastAsia" w:eastAsiaTheme="minorEastAsia" w:cstheme="minorEastAsia"/>
              </w:rPr>
            </w:pPr>
          </w:p>
          <w:p>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39"/>
              <w:numPr>
                <w:ilvl w:val="0"/>
                <w:numId w:val="2"/>
              </w:numPr>
              <w:kinsoku/>
              <w:wordWrap w:val="0"/>
              <w:jc w:val="both"/>
              <w:rPr>
                <w:rFonts w:hint="eastAsia" w:asciiTheme="minorEastAsia" w:hAnsiTheme="minorEastAsia" w:eastAsiaTheme="minorEastAsia" w:cstheme="minorEastAsia"/>
                <w:spacing w:val="29"/>
                <w:sz w:val="24"/>
                <w:szCs w:val="24"/>
                <w:u w:val="single"/>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w:t>
            </w:r>
            <w:r>
              <w:rPr>
                <w:rFonts w:hint="eastAsia" w:asciiTheme="minorEastAsia" w:hAnsiTheme="minorEastAsia" w:eastAsiaTheme="minorEastAsia" w:cstheme="minorEastAsia"/>
                <w:spacing w:val="14"/>
                <w:sz w:val="24"/>
                <w:szCs w:val="24"/>
                <w:u w:val="single"/>
                <w:lang w:eastAsia="zh-CN"/>
              </w:rPr>
              <w:t>软件和信息技术服务业</w:t>
            </w:r>
            <w:r>
              <w:rPr>
                <w:rFonts w:hint="eastAsia" w:asciiTheme="minorEastAsia" w:hAnsiTheme="minorEastAsia" w:eastAsiaTheme="minorEastAsia" w:cstheme="minorEastAsia"/>
                <w:spacing w:val="29"/>
                <w:sz w:val="24"/>
                <w:szCs w:val="24"/>
                <w:u w:val="single"/>
                <w:lang w:eastAsia="zh-CN"/>
              </w:rPr>
              <w:t xml:space="preserve"> </w:t>
            </w:r>
          </w:p>
          <w:p>
            <w:pPr>
              <w:pStyle w:val="39"/>
              <w:kinsoku/>
              <w:wordWrap w:val="0"/>
              <w:jc w:val="both"/>
              <w:rPr>
                <w:rFonts w:hint="eastAsia" w:asciiTheme="minorEastAsia" w:hAnsiTheme="minorEastAsia" w:eastAsiaTheme="minorEastAsia" w:cstheme="minorEastAsia"/>
                <w:spacing w:val="29"/>
                <w:sz w:val="24"/>
                <w:szCs w:val="24"/>
                <w:u w:val="single"/>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pPr>
              <w:kinsoku/>
              <w:wordWrap w:val="0"/>
              <w:autoSpaceDE/>
              <w:autoSpaceDN/>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10 </w:t>
            </w:r>
            <w:r>
              <w:rPr>
                <w:rFonts w:hint="eastAsia" w:asciiTheme="minorEastAsia" w:hAnsiTheme="minorEastAsia" w:eastAsiaTheme="minorEastAsia" w:cstheme="minorEastAsia"/>
                <w:spacing w:val="29"/>
                <w:sz w:val="24"/>
                <w:szCs w:val="24"/>
                <w:lang w:eastAsia="zh-CN"/>
              </w:rPr>
              <w:t>%。</w:t>
            </w:r>
          </w:p>
          <w:p>
            <w:pPr>
              <w:kinsoku/>
              <w:wordWrap w:val="0"/>
              <w:autoSpaceDE/>
              <w:autoSpaceDN/>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9"/>
              <w:kinsoku/>
              <w:wordWrap w:val="0"/>
              <w:spacing w:line="269" w:lineRule="auto"/>
              <w:jc w:val="both"/>
              <w:rPr>
                <w:rFonts w:hint="eastAsia" w:asciiTheme="minorEastAsia" w:hAnsiTheme="minorEastAsia" w:eastAsiaTheme="minorEastAsia" w:cstheme="minorEastAsia"/>
                <w:lang w:eastAsia="zh-CN"/>
              </w:rPr>
            </w:pPr>
          </w:p>
          <w:p>
            <w:pPr>
              <w:kinsoku/>
              <w:wordWrap w:val="0"/>
              <w:spacing w:before="78" w:line="219" w:lineRule="auto"/>
              <w:ind w:left="3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40"/>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pPr>
              <w:pStyle w:val="39"/>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39"/>
              <w:kinsoku/>
              <w:wordWrap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39"/>
              <w:kinsoku/>
              <w:wordWrap w:val="0"/>
              <w:spacing w:line="19" w:lineRule="exact"/>
              <w:ind w:left="200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第二标段：</w:t>
            </w:r>
            <w:r>
              <w:rPr>
                <w:rFonts w:hint="eastAsia" w:asciiTheme="minorEastAsia" w:hAnsiTheme="minorEastAsia" w:eastAsiaTheme="minorEastAsia" w:cstheme="minorEastAsia"/>
                <w:spacing w:val="-12"/>
                <w:sz w:val="24"/>
                <w:szCs w:val="24"/>
                <w:u w:val="single"/>
                <w:lang w:eastAsia="zh-CN"/>
              </w:rPr>
              <w:t xml:space="preserve">62 </w:t>
            </w:r>
            <w:r>
              <w:rPr>
                <w:rFonts w:hint="eastAsia" w:asciiTheme="minorEastAsia" w:hAnsiTheme="minorEastAsia" w:eastAsiaTheme="minorEastAsia" w:cstheme="minorEastAsia"/>
                <w:bCs/>
                <w:sz w:val="24"/>
                <w:szCs w:val="24"/>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val="en-US" w:eastAsia="zh-CN"/>
              </w:rPr>
              <w:t>09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04</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09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2024</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09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04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09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 xml:space="preserve">☑否            </w:t>
            </w:r>
            <w:r>
              <w:rPr>
                <w:rFonts w:hint="eastAsia" w:asciiTheme="minorEastAsia" w:hAnsiTheme="minorEastAsia" w:eastAsiaTheme="minorEastAsia" w:cstheme="minorEastAsia"/>
                <w:sz w:val="24"/>
                <w:szCs w:val="24"/>
                <w:lang w:eastAsia="zh-CN"/>
              </w:rPr>
              <w:t>推荐的中标候选人数：3名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pPr>
              <w:pStyle w:val="39"/>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pPr>
              <w:pStyle w:val="39"/>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pPr>
              <w:pStyle w:val="39"/>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收费标准：依据《河南省招标代理服务收费指导意见》豫招协〔2023〕002号文规定收</w:t>
            </w:r>
            <w:r>
              <w:rPr>
                <w:rFonts w:hint="eastAsia" w:ascii="宋体" w:hAnsi="宋体" w:eastAsia="宋体" w:cs="宋体"/>
                <w:spacing w:val="-13"/>
                <w:sz w:val="24"/>
                <w:szCs w:val="24"/>
                <w:lang w:eastAsia="zh-CN"/>
              </w:rPr>
              <w:t>取。</w:t>
            </w:r>
          </w:p>
        </w:tc>
      </w:tr>
    </w:tbl>
    <w:p>
      <w:pPr>
        <w:kinsoku/>
        <w:wordWrap w:val="0"/>
        <w:spacing w:line="244" w:lineRule="auto"/>
        <w:jc w:val="both"/>
        <w:rPr>
          <w:lang w:eastAsia="zh-CN"/>
        </w:rPr>
      </w:pPr>
    </w:p>
    <w:p>
      <w:pPr>
        <w:pStyle w:val="9"/>
        <w:kinsoku/>
        <w:wordWrap w:val="0"/>
        <w:spacing w:before="91" w:line="360" w:lineRule="auto"/>
        <w:ind w:left="3844"/>
        <w:jc w:val="both"/>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pPr>
        <w:pStyle w:val="9"/>
        <w:kinsoku/>
        <w:wordWrap w:val="0"/>
        <w:spacing w:before="270" w:line="360" w:lineRule="auto"/>
        <w:jc w:val="both"/>
        <w:rPr>
          <w:rFonts w:hint="eastAsia" w:asciiTheme="minorEastAsia" w:hAnsiTheme="minorEastAsia" w:eastAsiaTheme="minorEastAsia" w:cstheme="minorEastAsia"/>
          <w:spacing w:val="-1"/>
          <w:sz w:val="24"/>
          <w:szCs w:val="24"/>
          <w:lang w:eastAsia="zh-CN"/>
        </w:rPr>
      </w:pPr>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p>
    <w:p>
      <w:pPr>
        <w:pStyle w:val="9"/>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pPr>
        <w:pStyle w:val="9"/>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pPr>
        <w:pStyle w:val="9"/>
        <w:kinsoku/>
        <w:wordWrap w:val="0"/>
        <w:spacing w:line="360" w:lineRule="auto"/>
        <w:ind w:firstLine="50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7"/>
          <w:sz w:val="24"/>
          <w:szCs w:val="24"/>
          <w:u w:val="single"/>
          <w:lang w:eastAsia="zh-CN"/>
        </w:rPr>
        <w:t>62</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pPr>
        <w:pStyle w:val="9"/>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pPr>
        <w:pStyle w:val="9"/>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pPr>
        <w:pStyle w:val="9"/>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pPr>
        <w:pStyle w:val="9"/>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pPr>
        <w:pStyle w:val="9"/>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pPr>
        <w:pStyle w:val="9"/>
        <w:kinsoku/>
        <w:wordWrap w:val="0"/>
        <w:spacing w:line="360" w:lineRule="auto"/>
        <w:ind w:firstLine="50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pPr>
        <w:pStyle w:val="9"/>
        <w:kinsoku/>
        <w:wordWrap w:val="0"/>
        <w:spacing w:line="360" w:lineRule="auto"/>
        <w:ind w:firstLine="47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pPr>
        <w:pStyle w:val="9"/>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9"/>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9"/>
        <w:kinsoku/>
        <w:wordWrap w:val="0"/>
        <w:spacing w:line="360" w:lineRule="auto"/>
        <w:ind w:firstLine="448"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val="0"/>
          <w:bCs w:val="0"/>
          <w:spacing w:val="-8"/>
          <w:sz w:val="24"/>
          <w:szCs w:val="24"/>
          <w:lang w:eastAsia="zh-CN"/>
        </w:rPr>
        <w:t>否则响应无效；</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rPr>
          <w:lang w:eastAsia="zh-CN"/>
        </w:rPr>
        <w:instrText xml:space="preserve">HYPERLINK "https://www.baidu.com/link?url=pV2gqlWQVIfLHb2GO1RMJVp24ETQ1a_TiqQ-2CHpcULsECvXubLhLHJTcTJbIedy&amp;wd=&amp;eqid=88c7d5f9006c2d6b0000000265780e74" \t "https://www.baidu.com/_blank"</w:instrText>
      </w:r>
      <w:r>
        <w:rPr>
          <w:rFonts w:hint="eastAsia"/>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rPr>
          <w:lang w:eastAsia="zh-CN"/>
        </w:rPr>
        <w:instrText xml:space="preserve">HYPERLINK "https://www.baidu.com/link?url=pV2gqlWQVIfLHb2GO1RMJVp24ETQ1a_TiqQ-2CHpcULsECvXubLhLHJTcTJbIedy&amp;wd=&amp;eqid=88c7d5f9006c2d6b0000000265780e74" \t "https://www.baidu.com/_blank"</w:instrText>
      </w:r>
      <w:r>
        <w:rPr>
          <w:rFonts w:hint="eastAsia"/>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9"/>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pPr>
        <w:pStyle w:val="9"/>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pPr>
        <w:pStyle w:val="9"/>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9"/>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pPr>
        <w:pStyle w:val="9"/>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pPr>
        <w:pStyle w:val="9"/>
        <w:kinsoku/>
        <w:wordWrap w:val="0"/>
        <w:spacing w:line="360" w:lineRule="auto"/>
        <w:ind w:firstLine="474"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河南省财政厅 </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r>
        <w:rPr>
          <w:rFonts w:hint="eastAsia" w:asciiTheme="minorEastAsia" w:hAnsiTheme="minorEastAsia" w:eastAsiaTheme="minorEastAsia" w:cstheme="minorEastAsia"/>
          <w:spacing w:val="-2"/>
          <w:sz w:val="24"/>
          <w:szCs w:val="24"/>
          <w:u w:val="single"/>
          <w:lang w:eastAsia="zh-CN"/>
        </w:rPr>
        <w:t xml:space="preserve">设备及附属物品 </w:t>
      </w:r>
      <w:r>
        <w:rPr>
          <w:rFonts w:hint="eastAsia" w:asciiTheme="minorEastAsia" w:hAnsiTheme="minorEastAsia" w:eastAsiaTheme="minorEastAsia" w:cstheme="minorEastAsia"/>
          <w:spacing w:val="-12"/>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售后及安装  </w:t>
      </w:r>
      <w:r>
        <w:rPr>
          <w:rFonts w:hint="eastAsia" w:asciiTheme="minorEastAsia" w:hAnsiTheme="minorEastAsia" w:eastAsiaTheme="minorEastAsia" w:cstheme="minorEastAsia"/>
          <w:spacing w:val="-12"/>
          <w:sz w:val="24"/>
          <w:szCs w:val="24"/>
          <w:lang w:eastAsia="zh-CN"/>
        </w:rPr>
        <w:t>服务。</w:t>
      </w:r>
    </w:p>
    <w:p>
      <w:pPr>
        <w:kinsoku/>
        <w:wordWrap w:val="0"/>
        <w:spacing w:line="292" w:lineRule="auto"/>
        <w:jc w:val="both"/>
        <w:rPr>
          <w:lang w:eastAsia="zh-CN"/>
        </w:rPr>
      </w:pPr>
    </w:p>
    <w:p>
      <w:pPr>
        <w:pStyle w:val="9"/>
        <w:kinsoku/>
        <w:wordWrap w:val="0"/>
        <w:spacing w:before="91" w:line="360" w:lineRule="auto"/>
        <w:jc w:val="both"/>
        <w:rPr>
          <w:rFonts w:hint="eastAsia"/>
          <w:sz w:val="24"/>
          <w:szCs w:val="24"/>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pPr>
        <w:pStyle w:val="9"/>
        <w:kinsoku/>
        <w:wordWrap w:val="0"/>
        <w:spacing w:line="360" w:lineRule="auto"/>
        <w:ind w:firstLine="482" w:firstLineChars="200"/>
        <w:jc w:val="both"/>
        <w:rPr>
          <w:rFonts w:hint="eastAsia"/>
          <w:b/>
          <w:bCs/>
          <w:sz w:val="24"/>
          <w:szCs w:val="24"/>
          <w:lang w:eastAsia="zh-CN"/>
        </w:rPr>
      </w:pPr>
      <w:r>
        <w:rPr>
          <w:rFonts w:hint="eastAsia"/>
          <w:b/>
          <w:bCs/>
          <w:sz w:val="24"/>
          <w:szCs w:val="24"/>
          <w:lang w:eastAsia="zh-CN"/>
        </w:rPr>
        <w:t>7.</w:t>
      </w:r>
      <w:r>
        <w:rPr>
          <w:b/>
          <w:bCs/>
          <w:sz w:val="24"/>
          <w:szCs w:val="24"/>
          <w:lang w:eastAsia="zh-CN"/>
        </w:rPr>
        <w:t>竞争性磋商文件构成</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第一章 竞争性磋商公告</w:t>
      </w:r>
      <w:r>
        <w:rPr>
          <w:spacing w:val="-1"/>
          <w:sz w:val="24"/>
          <w:szCs w:val="24"/>
        </w:rPr>
        <w:fldChar w:fldCharType="begin"/>
      </w:r>
      <w:r>
        <w:rPr>
          <w:spacing w:val="-1"/>
          <w:sz w:val="24"/>
          <w:szCs w:val="24"/>
          <w:lang w:eastAsia="zh-CN"/>
        </w:rPr>
        <w:instrText xml:space="preserve">HYPERLINK\l"bookmark1"</w:instrText>
      </w:r>
      <w:r>
        <w:rPr>
          <w:spacing w:val="-1"/>
          <w:sz w:val="24"/>
          <w:szCs w:val="24"/>
        </w:rPr>
        <w:fldChar w:fldCharType="separate"/>
      </w:r>
      <w:r>
        <w:rPr>
          <w:spacing w:val="-1"/>
          <w:sz w:val="24"/>
          <w:szCs w:val="24"/>
          <w:lang w:eastAsia="zh-CN"/>
        </w:rPr>
        <w:t>第一章</w:t>
      </w:r>
      <w:r>
        <w:rPr>
          <w:rFonts w:hint="eastAsia"/>
          <w:spacing w:val="-1"/>
          <w:sz w:val="24"/>
          <w:szCs w:val="24"/>
          <w:lang w:eastAsia="zh-CN"/>
        </w:rPr>
        <w:t xml:space="preserve"> 竞争性磋商公告</w:t>
      </w:r>
      <w:r>
        <w:rPr>
          <w:spacing w:val="-1"/>
          <w:sz w:val="24"/>
          <w:szCs w:val="24"/>
        </w:rPr>
        <w:fldChar w:fldCharType="end"/>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8.对竞争性磋商文件的澄清或修改</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9"/>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pPr>
        <w:pStyle w:val="9"/>
        <w:kinsoku/>
        <w:wordWrap w:val="0"/>
        <w:spacing w:before="91" w:line="360" w:lineRule="auto"/>
        <w:jc w:val="both"/>
        <w:rPr>
          <w:rFonts w:ascii="Arial" w:hAnsi="Arial" w:cs="Arial"/>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pPr>
        <w:pStyle w:val="9"/>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9.响应范围、竞争性磋商文件中计量单位的使用及磋商语言</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9"/>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10.响应文件构成</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spacing w:line="360" w:lineRule="auto"/>
        <w:ind w:firstLine="480"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pPr>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pPr>
        <w:kinsoku/>
        <w:wordWrap w:val="0"/>
        <w:autoSpaceDE/>
        <w:autoSpaceDN/>
        <w:adjustRightInd/>
        <w:snapToGrid/>
        <w:spacing w:line="360" w:lineRule="auto"/>
        <w:ind w:firstLine="478" w:firstLineChars="200"/>
        <w:jc w:val="both"/>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竞争性磋商文件要求盖章的内容，一般通过CA或电子营业执照加盖电子签章。</w:t>
      </w:r>
    </w:p>
    <w:p>
      <w:pPr>
        <w:pStyle w:val="9"/>
        <w:kinsoku/>
        <w:wordWrap w:val="0"/>
        <w:spacing w:before="122" w:line="190" w:lineRule="auto"/>
        <w:jc w:val="both"/>
        <w:rPr>
          <w:rFonts w:hint="eastAsia"/>
          <w:spacing w:val="-4"/>
          <w:sz w:val="28"/>
          <w:szCs w:val="28"/>
          <w:lang w:eastAsia="zh-CN"/>
          <w14:textOutline w14:w="1803" w14:cap="flat" w14:cmpd="sng" w14:algn="ctr">
            <w14:solidFill>
              <w14:srgbClr w14:val="000000"/>
            </w14:solidFill>
            <w14:prstDash w14:val="solid"/>
            <w14:miter w14:val="0"/>
          </w14:textOutline>
        </w:rPr>
      </w:pPr>
    </w:p>
    <w:p>
      <w:pPr>
        <w:pStyle w:val="9"/>
        <w:kinsoku/>
        <w:wordWrap w:val="0"/>
        <w:spacing w:before="122" w:line="360" w:lineRule="auto"/>
        <w:jc w:val="both"/>
        <w:rPr>
          <w:rFonts w:hint="eastAsia"/>
          <w:spacing w:val="-1"/>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14.响应文件的提交</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pPr>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pPr>
        <w:pStyle w:val="9"/>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pPr>
        <w:pStyle w:val="9"/>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pPr>
        <w:pStyle w:val="9"/>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pPr>
        <w:widowControl w:val="0"/>
        <w:kinsoku/>
        <w:wordWrap w:val="0"/>
        <w:autoSpaceDE/>
        <w:autoSpaceDN/>
        <w:adjustRightInd/>
        <w:snapToGrid/>
        <w:spacing w:after="120"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市公共资源交易电子交易平台最后一份加密电子响应文件为准。</w:t>
      </w:r>
      <w:r>
        <w:rPr>
          <w:rFonts w:hint="eastAsia" w:ascii="宋体" w:hAnsi="宋体" w:eastAsia="宋体" w:cs="宋体"/>
          <w:snapToGrid/>
          <w:color w:val="auto"/>
          <w:spacing w:val="3"/>
          <w:kern w:val="2"/>
          <w:sz w:val="24"/>
          <w:szCs w:val="24"/>
          <w:lang w:eastAsia="zh-CN"/>
        </w:rPr>
        <w:t>上传截止时间之后，供应商不得修改或撤回电子响应文件。</w:t>
      </w:r>
    </w:p>
    <w:p>
      <w:pPr>
        <w:widowControl w:val="0"/>
        <w:tabs>
          <w:tab w:val="left" w:pos="945"/>
          <w:tab w:val="left" w:pos="1155"/>
        </w:tabs>
        <w:kinsoku/>
        <w:autoSpaceDE/>
        <w:autoSpaceDN/>
        <w:adjustRightInd/>
        <w:snapToGrid/>
        <w:spacing w:after="120"/>
        <w:ind w:left="420" w:leftChars="200" w:firstLine="480" w:firstLineChars="200"/>
        <w:jc w:val="both"/>
        <w:textAlignment w:val="auto"/>
        <w:rPr>
          <w:rFonts w:ascii="Times New Roman" w:hAnsi="Times New Roman" w:eastAsia="宋体" w:cs="Times New Roman"/>
          <w:snapToGrid/>
          <w:color w:val="auto"/>
          <w:kern w:val="2"/>
          <w:sz w:val="24"/>
          <w:szCs w:val="20"/>
          <w:lang w:eastAsia="zh-CN"/>
        </w:rPr>
      </w:pPr>
    </w:p>
    <w:p>
      <w:pPr>
        <w:widowControl w:val="0"/>
        <w:kinsoku/>
        <w:autoSpaceDE/>
        <w:autoSpaceDN/>
        <w:adjustRightInd/>
        <w:snapToGrid/>
        <w:jc w:val="both"/>
        <w:textAlignment w:val="auto"/>
        <w:rPr>
          <w:rFonts w:ascii="Calibri" w:hAnsi="Calibri" w:eastAsia="宋体" w:cs="Times New Roman"/>
          <w:b/>
          <w:bCs/>
          <w:snapToGrid/>
          <w:color w:val="auto"/>
          <w:kern w:val="2"/>
          <w:sz w:val="28"/>
          <w:szCs w:val="32"/>
          <w:lang w:eastAsia="zh-CN"/>
        </w:rPr>
      </w:pPr>
    </w:p>
    <w:p>
      <w:pPr>
        <w:widowControl w:val="0"/>
        <w:kinsoku/>
        <w:autoSpaceDE/>
        <w:autoSpaceDN/>
        <w:adjustRightInd/>
        <w:snapToGrid/>
        <w:ind w:firstLine="3654" w:firstLineChars="1300"/>
        <w:jc w:val="both"/>
        <w:textAlignment w:val="auto"/>
        <w:outlineLvl w:val="0"/>
        <w:rPr>
          <w:rFonts w:ascii="Calibri" w:hAnsi="Calibri" w:eastAsia="宋体" w:cs="Times New Roman"/>
          <w:b/>
          <w:bCs/>
          <w:snapToGrid/>
          <w:color w:val="auto"/>
          <w:kern w:val="2"/>
          <w:sz w:val="28"/>
          <w:szCs w:val="32"/>
          <w:lang w:eastAsia="zh-CN"/>
        </w:rPr>
      </w:pPr>
      <w:bookmarkStart w:id="15" w:name="_Toc22804"/>
      <w:r>
        <w:rPr>
          <w:rFonts w:hint="eastAsia" w:ascii="Calibri" w:hAnsi="Calibri" w:eastAsia="宋体" w:cs="Times New Roman"/>
          <w:b/>
          <w:bCs/>
          <w:snapToGrid/>
          <w:color w:val="auto"/>
          <w:kern w:val="2"/>
          <w:sz w:val="28"/>
          <w:szCs w:val="32"/>
          <w:lang w:eastAsia="zh-CN"/>
        </w:rPr>
        <w:t>第四章 评审办法</w:t>
      </w:r>
      <w:bookmarkEnd w:id="12"/>
      <w:bookmarkEnd w:id="15"/>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一、编制、确认竞争性磋商文件</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napToGrid/>
          <w:color w:val="auto"/>
          <w:spacing w:val="3"/>
          <w:kern w:val="2"/>
          <w:sz w:val="24"/>
          <w:szCs w:val="24"/>
          <w:lang w:eastAsia="zh-CN"/>
        </w:rPr>
        <w:t>采购人或采购代理机构</w:t>
      </w:r>
      <w:r>
        <w:rPr>
          <w:rFonts w:hint="eastAsia" w:ascii="宋体" w:hAnsi="宋体" w:eastAsia="宋体" w:cs="宋体"/>
          <w:spacing w:val="3"/>
          <w:sz w:val="24"/>
          <w:szCs w:val="24"/>
          <w:lang w:eastAsia="zh-CN"/>
        </w:rPr>
        <w:t>根据采购项目特点和采购实际需求编制竞争性磋商文件，编制的竞争性磋商文件应由采购人审核并确认。</w:t>
      </w:r>
    </w:p>
    <w:p>
      <w:pPr>
        <w:widowControl w:val="0"/>
        <w:tabs>
          <w:tab w:val="left" w:pos="743"/>
        </w:tabs>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tabs>
          <w:tab w:val="left" w:pos="743"/>
        </w:tabs>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二、发布竞争性磋商公告，邀请供应商参加磋商</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竞争性磋商文件经采购人书面确认后，将在指定媒体和南阳市公共资源交易中心网发布竞争性磋商公告。供应商按照公告和竞争性磋商文件要求制作并递交响应文件。</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三、组建磋商小组</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根据</w:t>
      </w:r>
      <w:r>
        <w:rPr>
          <w:rFonts w:hint="eastAsia" w:ascii="宋体" w:hAnsi="宋体" w:eastAsia="宋体" w:cs="宋体"/>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竞争性磋商小组负责对响应文件进行评审、质疑、评估、比较、评分，组织磋商和最后报价。</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评审专家应当严格遵守评审工作纪律，按照客观、公正、审慎的原则，根据磋商文件规定的评审程序、评审方法和评审标准进行独立评审。</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napToGrid/>
          <w:color w:val="auto"/>
          <w:spacing w:val="3"/>
          <w:kern w:val="2"/>
          <w:sz w:val="24"/>
          <w:szCs w:val="24"/>
          <w:lang w:eastAsia="zh-CN"/>
        </w:rPr>
        <w:t>评审活动结束，按照《河南省政府采购评审专家劳务报酬支付标准》的通知(豫财购〔2017〕9号)的规定，发放劳务报酬。</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b/>
          <w:bCs/>
          <w:spacing w:val="3"/>
          <w:sz w:val="24"/>
          <w:szCs w:val="24"/>
          <w:lang w:eastAsia="zh-CN"/>
        </w:rPr>
        <w:t>四、解密电子响应文件</w:t>
      </w:r>
    </w:p>
    <w:p>
      <w:pPr>
        <w:widowControl w:val="0"/>
        <w:kinsoku/>
        <w:wordWrap w:val="0"/>
        <w:autoSpaceDE/>
        <w:autoSpaceDN/>
        <w:adjustRightInd/>
        <w:snapToGrid/>
        <w:spacing w:after="120" w:line="360" w:lineRule="auto"/>
        <w:ind w:firstLine="492" w:firstLineChars="200"/>
        <w:jc w:val="both"/>
        <w:textAlignment w:val="auto"/>
        <w:outlineLvl w:val="1"/>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b/>
          <w:bCs/>
          <w:spacing w:val="3"/>
          <w:sz w:val="24"/>
          <w:szCs w:val="24"/>
          <w:lang w:eastAsia="zh-CN"/>
        </w:rPr>
        <w:t>五、评审</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磋商小组对供应商提交的响应文件进行评审。主要对响应文件的有效性、完整性和响应程度进行审查，具体包括：</w:t>
      </w:r>
    </w:p>
    <w:p>
      <w:pPr>
        <w:widowControl w:val="0"/>
        <w:kinsoku/>
        <w:wordWrap w:val="0"/>
        <w:autoSpaceDE/>
        <w:autoSpaceDN/>
        <w:adjustRightInd/>
        <w:snapToGrid/>
        <w:spacing w:line="360" w:lineRule="auto"/>
        <w:ind w:firstLine="494" w:firstLineChars="200"/>
        <w:jc w:val="center"/>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资格性审查</w:t>
      </w:r>
    </w:p>
    <w:tbl>
      <w:tblPr>
        <w:tblStyle w:val="38"/>
        <w:tblW w:w="9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002"/>
        <w:gridCol w:w="5276"/>
        <w:gridCol w:w="2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序号</w:t>
            </w:r>
          </w:p>
        </w:tc>
        <w:tc>
          <w:tcPr>
            <w:tcW w:w="1002"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审查因素</w:t>
            </w:r>
          </w:p>
        </w:tc>
        <w:tc>
          <w:tcPr>
            <w:tcW w:w="5276"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审查内容</w:t>
            </w:r>
          </w:p>
        </w:tc>
        <w:tc>
          <w:tcPr>
            <w:tcW w:w="2536"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p>
        </w:tc>
        <w:tc>
          <w:tcPr>
            <w:tcW w:w="1002"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满足第一章《竞争性磋商公告》供应商具备的资格要求</w:t>
            </w:r>
          </w:p>
        </w:tc>
        <w:tc>
          <w:tcPr>
            <w:tcW w:w="527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1具有独立承担民事责任的能力</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（提供有效的法人或者其他组织的营业执照等证明文件，自然人投标的需提供自然人的身份证明）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2具有良好的商业信誉和健全的财务会计管理制度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提供2023年或2024年经审计的财务报告或本公司出具的财务报表，或提供近三个月内其银行出具的资信证明</w:t>
            </w:r>
            <w:r>
              <w:rPr>
                <w:rFonts w:ascii="宋体" w:hAnsi="宋体" w:eastAsia="宋体"/>
                <w:color w:val="000000" w:themeColor="text1"/>
                <w:sz w:val="24"/>
                <w:szCs w:val="24"/>
                <w:lang w:eastAsia="zh-CN"/>
                <w14:textFill>
                  <w14:solidFill>
                    <w14:schemeClr w14:val="tx1"/>
                  </w14:solidFill>
                </w14:textFill>
              </w:rPr>
              <w:t>）</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3具有履行合同所必须的设备和专业技术能力</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（提供书面声明</w:t>
            </w:r>
            <w:r>
              <w:rPr>
                <w:rFonts w:hint="eastAsia" w:ascii="宋体" w:hAnsi="宋体" w:eastAsia="宋体"/>
                <w:color w:val="000000" w:themeColor="text1"/>
                <w:sz w:val="24"/>
                <w:szCs w:val="24"/>
                <w:lang w:eastAsia="zh-CN"/>
                <w14:textFill>
                  <w14:solidFill>
                    <w14:schemeClr w14:val="tx1"/>
                  </w14:solidFill>
                </w14:textFill>
              </w:rPr>
              <w:t>，内容</w:t>
            </w:r>
            <w:r>
              <w:rPr>
                <w:rFonts w:ascii="宋体" w:hAnsi="宋体" w:eastAsia="宋体"/>
                <w:color w:val="000000" w:themeColor="text1"/>
                <w:sz w:val="24"/>
                <w:szCs w:val="24"/>
                <w:lang w:eastAsia="zh-CN"/>
                <w14:textFill>
                  <w14:solidFill>
                    <w14:schemeClr w14:val="tx1"/>
                  </w14:solidFill>
                </w14:textFill>
              </w:rPr>
              <w:t>不限，格式自拟）</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4有依法缴纳税收和社会保障资金的良好记录</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（提供2024年</w:t>
            </w:r>
            <w:r>
              <w:rPr>
                <w:rFonts w:hint="eastAsia" w:ascii="宋体" w:hAnsi="宋体" w:eastAsia="宋体"/>
                <w:color w:val="000000" w:themeColor="text1"/>
                <w:sz w:val="24"/>
                <w:szCs w:val="24"/>
                <w:lang w:eastAsia="zh-CN"/>
                <w14:textFill>
                  <w14:solidFill>
                    <w14:schemeClr w14:val="tx1"/>
                  </w14:solidFill>
                </w14:textFill>
              </w:rPr>
              <w:t>内</w:t>
            </w:r>
            <w:r>
              <w:rPr>
                <w:rFonts w:ascii="宋体" w:hAnsi="宋体" w:eastAsia="宋体"/>
                <w:color w:val="000000" w:themeColor="text1"/>
                <w:sz w:val="24"/>
                <w:szCs w:val="24"/>
                <w:lang w:eastAsia="zh-CN"/>
                <w14:textFill>
                  <w14:solidFill>
                    <w14:schemeClr w14:val="tx1"/>
                  </w14:solidFill>
                </w14:textFill>
              </w:rPr>
              <w:t>任意1个月纳税和社保证明材料&lt;依法免税或不需要缴纳社会保障资金的供应商，应提供相应文件证明其依法免税或不需要缴纳社会保障金的证明材料&gt;）</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5参加政府采购活动前三年内，在经营活动中没有重大违法记录。（提供书面声明</w:t>
            </w:r>
            <w:r>
              <w:rPr>
                <w:rFonts w:hint="eastAsia" w:ascii="宋体" w:hAnsi="宋体" w:eastAsia="宋体"/>
                <w:color w:val="000000" w:themeColor="text1"/>
                <w:sz w:val="24"/>
                <w:szCs w:val="24"/>
                <w:lang w:eastAsia="zh-CN"/>
                <w14:textFill>
                  <w14:solidFill>
                    <w14:schemeClr w14:val="tx1"/>
                  </w14:solidFill>
                </w14:textFill>
              </w:rPr>
              <w:t>，见</w:t>
            </w:r>
            <w:r>
              <w:rPr>
                <w:rFonts w:ascii="宋体" w:hAnsi="宋体" w:eastAsia="宋体"/>
                <w:color w:val="000000" w:themeColor="text1"/>
                <w:sz w:val="24"/>
                <w:szCs w:val="24"/>
                <w:lang w:eastAsia="zh-CN"/>
                <w14:textFill>
                  <w14:solidFill>
                    <w14:schemeClr w14:val="tx1"/>
                  </w14:solidFill>
                </w14:textFill>
              </w:rPr>
              <w:t>格式）</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6根据《关于在政府采购活动中查询及使用信用记录有关问题的通知》(财库[2016]125 号) 的规定，被列入“信用中国”网站（www.creditchina.gov.cn）的“失信被执行人”（查询渠道为“中国执行信息公开网”网站(zxgk.court.gov.cn/shixin/））、“重大税收违法失信主体”或“中国政府采购网”网站（www.ccgp.gov.cn）的“政府采购严重违法失信行为记录名单”的</w:t>
            </w:r>
            <w:r>
              <w:rPr>
                <w:rFonts w:hint="eastAsia" w:ascii="宋体" w:hAnsi="宋体" w:eastAsia="宋体"/>
                <w:color w:val="000000" w:themeColor="text1"/>
                <w:sz w:val="24"/>
                <w:szCs w:val="24"/>
                <w:lang w:eastAsia="zh-CN"/>
                <w14:textFill>
                  <w14:solidFill>
                    <w14:schemeClr w14:val="tx1"/>
                  </w14:solidFill>
                </w14:textFill>
              </w:rPr>
              <w:t>供应商</w:t>
            </w:r>
            <w:r>
              <w:rPr>
                <w:rFonts w:ascii="宋体" w:hAnsi="宋体" w:eastAsia="宋体"/>
                <w:color w:val="000000" w:themeColor="text1"/>
                <w:sz w:val="24"/>
                <w:szCs w:val="24"/>
                <w:lang w:eastAsia="zh-CN"/>
                <w14:textFill>
                  <w14:solidFill>
                    <w14:schemeClr w14:val="tx1"/>
                  </w14:solidFill>
                </w14:textFill>
              </w:rPr>
              <w:t>，不得参与本次</w:t>
            </w:r>
            <w:r>
              <w:rPr>
                <w:rFonts w:hint="eastAsia" w:ascii="宋体" w:hAnsi="宋体" w:eastAsia="宋体"/>
                <w:color w:val="000000" w:themeColor="text1"/>
                <w:sz w:val="24"/>
                <w:szCs w:val="24"/>
                <w:lang w:eastAsia="zh-CN"/>
                <w14:textFill>
                  <w14:solidFill>
                    <w14:schemeClr w14:val="tx1"/>
                  </w14:solidFill>
                </w14:textFill>
              </w:rPr>
              <w:t>采购</w:t>
            </w:r>
            <w:r>
              <w:rPr>
                <w:rFonts w:ascii="宋体" w:hAnsi="宋体" w:eastAsia="宋体"/>
                <w:color w:val="000000" w:themeColor="text1"/>
                <w:sz w:val="24"/>
                <w:szCs w:val="24"/>
                <w:lang w:eastAsia="zh-CN"/>
                <w14:textFill>
                  <w14:solidFill>
                    <w14:schemeClr w14:val="tx1"/>
                  </w14:solidFill>
                </w14:textFill>
              </w:rPr>
              <w:t>活动。查询时间：本项目</w:t>
            </w:r>
            <w:r>
              <w:rPr>
                <w:rFonts w:hint="eastAsia" w:ascii="宋体" w:hAnsi="宋体" w:eastAsia="宋体"/>
                <w:color w:val="000000" w:themeColor="text1"/>
                <w:sz w:val="24"/>
                <w:szCs w:val="24"/>
                <w:lang w:eastAsia="zh-CN"/>
                <w14:textFill>
                  <w14:solidFill>
                    <w14:schemeClr w14:val="tx1"/>
                  </w14:solidFill>
                </w14:textFill>
              </w:rPr>
              <w:t>采购</w:t>
            </w:r>
            <w:r>
              <w:rPr>
                <w:rFonts w:ascii="宋体" w:hAnsi="宋体" w:eastAsia="宋体"/>
                <w:color w:val="000000" w:themeColor="text1"/>
                <w:sz w:val="24"/>
                <w:szCs w:val="24"/>
                <w:lang w:eastAsia="zh-CN"/>
                <w14:textFill>
                  <w14:solidFill>
                    <w14:schemeClr w14:val="tx1"/>
                  </w14:solidFill>
                </w14:textFill>
              </w:rPr>
              <w:t>公告发布之后。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7与采购人、采购人就本次采购的项目委托的招标代理机构以及上述机构的附属机构没有行政或经济关联</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（提供书面声明</w:t>
            </w:r>
            <w:r>
              <w:rPr>
                <w:rFonts w:hint="eastAsia" w:ascii="宋体" w:hAnsi="宋体" w:eastAsia="宋体"/>
                <w:color w:val="000000" w:themeColor="text1"/>
                <w:sz w:val="24"/>
                <w:szCs w:val="24"/>
                <w:lang w:eastAsia="zh-CN"/>
                <w14:textFill>
                  <w14:solidFill>
                    <w14:schemeClr w14:val="tx1"/>
                  </w14:solidFill>
                </w14:textFill>
              </w:rPr>
              <w:t>，内容</w:t>
            </w:r>
            <w:r>
              <w:rPr>
                <w:rFonts w:ascii="宋体" w:hAnsi="宋体" w:eastAsia="宋体"/>
                <w:color w:val="000000" w:themeColor="text1"/>
                <w:sz w:val="24"/>
                <w:szCs w:val="24"/>
                <w:lang w:eastAsia="zh-CN"/>
                <w14:textFill>
                  <w14:solidFill>
                    <w14:schemeClr w14:val="tx1"/>
                  </w14:solidFill>
                </w14:textFill>
              </w:rPr>
              <w:t>不限，格式自拟）</w:t>
            </w:r>
          </w:p>
        </w:tc>
        <w:tc>
          <w:tcPr>
            <w:tcW w:w="2536" w:type="dxa"/>
            <w:vAlign w:val="center"/>
          </w:tcPr>
          <w:p>
            <w:pPr>
              <w:spacing w:line="360" w:lineRule="auto"/>
              <w:ind w:firstLine="480" w:firstLineChars="200"/>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供应商为企业（包括合伙企业、个体工商户）的，应提供有效的营业执照；供应商为事业单位的，应提供有效的事业单位法人证书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供应商是非企业机构的，应提供有效的执业许可证、登记证书等证明文件；供应商是自然人的，应提供有效的自然人身份证明。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p>
        </w:tc>
        <w:tc>
          <w:tcPr>
            <w:tcW w:w="1002"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本项目的其他资格要求</w:t>
            </w:r>
          </w:p>
        </w:tc>
        <w:tc>
          <w:tcPr>
            <w:tcW w:w="527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如有，见第一章《竞争性磋商公告》</w:t>
            </w:r>
          </w:p>
        </w:tc>
        <w:tc>
          <w:tcPr>
            <w:tcW w:w="253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p>
        </w:tc>
      </w:tr>
    </w:tbl>
    <w:p>
      <w:pPr>
        <w:widowControl w:val="0"/>
        <w:numPr>
          <w:ilvl w:val="0"/>
          <w:numId w:val="3"/>
        </w:numPr>
        <w:kinsoku/>
        <w:wordWrap w:val="0"/>
        <w:autoSpaceDE/>
        <w:autoSpaceDN/>
        <w:adjustRightInd/>
        <w:snapToGrid/>
        <w:spacing w:after="120" w:line="360" w:lineRule="auto"/>
        <w:ind w:firstLine="484"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符合性审查。</w:t>
      </w:r>
    </w:p>
    <w:tbl>
      <w:tblPr>
        <w:tblStyle w:val="24"/>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639"/>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序号</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审查因素</w:t>
            </w:r>
          </w:p>
        </w:tc>
        <w:tc>
          <w:tcPr>
            <w:tcW w:w="7053"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p>
        </w:tc>
        <w:tc>
          <w:tcPr>
            <w:tcW w:w="1639"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法人</w:t>
            </w:r>
            <w:r>
              <w:rPr>
                <w:rFonts w:ascii="宋体" w:hAnsi="宋体" w:eastAsia="宋体"/>
                <w:color w:val="000000" w:themeColor="text1"/>
                <w:sz w:val="24"/>
                <w:szCs w:val="24"/>
                <w:lang w:eastAsia="zh-CN"/>
                <w14:textFill>
                  <w14:solidFill>
                    <w14:schemeClr w14:val="tx1"/>
                  </w14:solidFill>
                </w14:textFill>
              </w:rPr>
              <w:t>证明</w:t>
            </w:r>
            <w:r>
              <w:rPr>
                <w:rFonts w:hint="eastAsia" w:ascii="宋体" w:hAnsi="宋体" w:eastAsia="宋体"/>
                <w:color w:val="000000" w:themeColor="text1"/>
                <w:sz w:val="24"/>
                <w:szCs w:val="24"/>
                <w:lang w:eastAsia="zh-CN"/>
                <w14:textFill>
                  <w14:solidFill>
                    <w14:schemeClr w14:val="tx1"/>
                  </w14:solidFill>
                </w14:textFill>
              </w:rPr>
              <w:t>、授权委托书</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按磋商文件要求提供法人</w:t>
            </w:r>
            <w:r>
              <w:rPr>
                <w:rFonts w:ascii="宋体" w:hAnsi="宋体" w:eastAsia="宋体"/>
                <w:color w:val="000000" w:themeColor="text1"/>
                <w:sz w:val="24"/>
                <w:szCs w:val="24"/>
                <w:lang w:eastAsia="zh-CN"/>
                <w14:textFill>
                  <w14:solidFill>
                    <w14:schemeClr w14:val="tx1"/>
                  </w14:solidFill>
                </w14:textFill>
              </w:rPr>
              <w:t>证明、</w:t>
            </w:r>
            <w:r>
              <w:rPr>
                <w:rFonts w:hint="eastAsia" w:ascii="宋体" w:hAnsi="宋体" w:eastAsia="宋体"/>
                <w:color w:val="000000" w:themeColor="text1"/>
                <w:sz w:val="24"/>
                <w:szCs w:val="24"/>
                <w:lang w:eastAsia="zh-CN"/>
                <w14:textFill>
                  <w14:solidFill>
                    <w14:schemeClr w14:val="tx1"/>
                  </w14:solidFill>
                </w14:textFill>
              </w:rPr>
              <w:t>授权委托书（如有）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磋商</w:t>
            </w:r>
            <w:r>
              <w:rPr>
                <w:rFonts w:hint="eastAsia" w:ascii="宋体" w:hAnsi="宋体" w:eastAsia="宋体"/>
                <w:color w:val="000000" w:themeColor="text1"/>
                <w:sz w:val="24"/>
                <w:szCs w:val="24"/>
                <w14:textFill>
                  <w14:solidFill>
                    <w14:schemeClr w14:val="tx1"/>
                  </w14:solidFill>
                </w14:textFill>
              </w:rPr>
              <w:t>报价</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报价未超过磋商文件中规定的项目/采购包预算金额或者项目/ 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报价唯一性</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响应文件未出现可选择性或可调整的报价（磋商文件另有规定的除外）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磋商</w:t>
            </w:r>
            <w:r>
              <w:rPr>
                <w:rFonts w:hint="eastAsia" w:ascii="宋体" w:hAnsi="宋体" w:eastAsia="宋体"/>
                <w:color w:val="000000" w:themeColor="text1"/>
                <w:sz w:val="24"/>
                <w:szCs w:val="24"/>
                <w14:textFill>
                  <w14:solidFill>
                    <w14:schemeClr w14:val="tx1"/>
                  </w14:solidFill>
                </w14:textFill>
              </w:rPr>
              <w:t>有效期</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响应文件中磋商有效期满足采购文件中载明的磋商有效期。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实质性格式</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标记为实质性格式的文件均按磋商文件要求提供且签署、盖章。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报价的修正（如有）</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不涉及报价修正，或响应文件报价出现前后不一致时，供应商对修正后的报价予以确认。（如有）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质量标准</w:t>
            </w:r>
          </w:p>
        </w:tc>
        <w:tc>
          <w:tcPr>
            <w:tcW w:w="7053"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8</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质保期</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响应文件中质保期满足采购文件中载明的质保期。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9</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交付时间及地点</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响应文件中交付时间及地点满足采购文件中载明的交付时间及地点。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10</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串通投标</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不存在《政府采购货物和服务招标投标管理办法》视为供应商串通投标的情形：</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（1）不同供应商的响应文件由同一单位或者个人编制；</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（2）不同供应商委托同一单位或者个人办理投标事宜；</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（3）不同供应商的响应文件载明的项目管理成员或者联系人员为同一人；</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（4）不同供应商的响应文件异常一致或者报价呈规律性差异；</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（5）不同供应商的响应文件相互混装；</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（6）不同供应商的磋商保证金从同一单位或者个人的账户转出（如有）；不存在南阳市财政局关于防范供应商串通投标促进政府采购公平竞争的通知（宛财购〔2022〕3号）供应商串通投标的情形。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eastAsia="zh-CN"/>
                <w14:textFill>
                  <w14:solidFill>
                    <w14:schemeClr w14:val="tx1"/>
                  </w14:solidFill>
                </w14:textFill>
              </w:rPr>
              <w:t>1</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其他</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p>
        </w:tc>
      </w:tr>
    </w:tbl>
    <w:p>
      <w:pPr>
        <w:widowControl w:val="0"/>
        <w:kinsoku/>
        <w:wordWrap w:val="0"/>
        <w:autoSpaceDE/>
        <w:autoSpaceDN/>
        <w:adjustRightInd/>
        <w:snapToGrid/>
        <w:spacing w:after="120" w:line="360" w:lineRule="auto"/>
        <w:jc w:val="both"/>
        <w:textAlignment w:val="auto"/>
        <w:rPr>
          <w:rFonts w:hint="eastAsia" w:ascii="宋体" w:hAnsi="宋体" w:eastAsia="宋体" w:cs="宋体"/>
          <w:spacing w:val="1"/>
          <w:sz w:val="24"/>
          <w:szCs w:val="24"/>
          <w:lang w:eastAsia="zh-CN"/>
        </w:rPr>
      </w:pP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磋商小组依据竞争性磋商文件的规定检查供应商响应文件制作内容的完整度和符合性是否符合竞争性磋商文件的各项要求。</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只有通过以上审查的供应商的响应文件，方可进入商务和技术评估，综合比较与评价。</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3.技术（服务）审查。磋商小组依据竞争性磋商文件的规定审查各供应商所响应设备的技术指标、技术性能、产品技术说明或项目方案、人员配备等是否符合最低要求。</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4.综合比较与评价。对各供应商对磋商文件的符合性和技术响应程度、项目方案或技术响应程度、综合实力、售后服务以及报价等因素，进行综合评比。</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5.未实质性响应磋商文件的响应文件按无效响应处理，磋商小组应当告知提交响应文件的供应商。</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响应文件无效的情形：</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 在资格性和符合性审查时，如发现下列情形之一的，响应文件将被视为无效：</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5.1.1 资格证明文件不全的，或者不符合竞争性磋商文件标明的资格要求的；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5.1.2 响应文件无法定代表人或负责人签字,或未提供法定代表人或负责人授权委托书、承诺书或者填写项目不齐全的；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5.1.3 授权代表人未能出具身份证明或与法定代表人或负责人授权委托人身份不符的；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5.1.4 电子响应文件未使用CA或电子营业执照认证并加密的；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5.1.5 其他不符合磋商文件实质性要求的。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 在报价评审时，如发现下列情形之一的，响应文件将被视为无效：</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5.2.1 未采用人民币报价的；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5.2.2 报价具有选择性；</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5.2.3 未进行最后报价或最后报价高于采购人预算的。</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磋商、响应文件有关事项的澄清、说明或者更正和最后报价</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.1</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磋商小组所有成员将集中与单一供应商分别进行磋商，并给予所有参加磋商的供应商平等的磋商机会。</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.2</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.3</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对磋商文件作出的实质性变动是磋商文件的有效组成部分，磋商小组应当及时</w:t>
      </w:r>
      <w:r>
        <w:rPr>
          <w:rFonts w:hint="eastAsia" w:ascii="Calibri" w:hAnsi="Calibri" w:eastAsia="宋体" w:cs="Times New Roman"/>
          <w:snapToGrid/>
          <w:color w:val="auto"/>
          <w:kern w:val="2"/>
          <w:sz w:val="24"/>
          <w:szCs w:val="24"/>
          <w:lang w:eastAsia="zh-CN"/>
        </w:rPr>
        <w:t>通过评标系统通知</w:t>
      </w:r>
      <w:r>
        <w:rPr>
          <w:rFonts w:ascii="Calibri" w:hAnsi="Calibri" w:eastAsia="宋体" w:cs="Times New Roman"/>
          <w:snapToGrid/>
          <w:color w:val="auto"/>
          <w:kern w:val="2"/>
          <w:sz w:val="24"/>
          <w:szCs w:val="24"/>
          <w:lang w:eastAsia="zh-CN"/>
        </w:rPr>
        <w:t>所有参加磋商的供应商。</w:t>
      </w:r>
      <w:r>
        <w:rPr>
          <w:rFonts w:hint="eastAsia" w:ascii="Calibri" w:hAnsi="Calibri" w:eastAsia="宋体" w:cs="Times New Roman"/>
          <w:snapToGrid/>
          <w:color w:val="auto"/>
          <w:kern w:val="2"/>
          <w:sz w:val="24"/>
          <w:szCs w:val="24"/>
          <w:lang w:eastAsia="zh-CN"/>
        </w:rPr>
        <w:t>具体磋商内容由磋商小组根据磋商实际情况确定。</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供应商应当按照竞争性磋商文件的变动情况和磋商小组的要求，通过评标系统以在线形式提交承诺，并用CA或电子营业执照签章。</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ascii="宋体" w:hAnsi="宋体" w:eastAsia="宋体" w:cs="宋体"/>
          <w:sz w:val="24"/>
          <w:szCs w:val="24"/>
          <w:lang w:eastAsia="zh-CN"/>
        </w:rPr>
        <w:t>.5</w:t>
      </w:r>
      <w:r>
        <w:rPr>
          <w:rFonts w:hint="eastAsia" w:ascii="Calibri" w:hAnsi="Calibri" w:eastAsia="宋体" w:cs="宋体"/>
          <w:sz w:val="24"/>
          <w:szCs w:val="24"/>
          <w:lang w:eastAsia="zh-CN"/>
        </w:rPr>
        <w:t xml:space="preserve"> </w:t>
      </w:r>
      <w:r>
        <w:rPr>
          <w:rFonts w:ascii="宋体" w:hAnsi="宋体" w:eastAsia="宋体" w:cs="宋体"/>
          <w:sz w:val="24"/>
          <w:szCs w:val="24"/>
          <w:lang w:eastAsia="zh-CN"/>
        </w:rPr>
        <w:t>响应文件的澄清、说明或者更正：</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hint="eastAsia" w:ascii="宋体" w:hAnsi="宋体" w:eastAsia="宋体" w:cs="宋体"/>
          <w:sz w:val="24"/>
          <w:szCs w:val="24"/>
          <w:lang w:eastAsia="zh-CN"/>
        </w:rPr>
        <w:t>.5.1</w:t>
      </w:r>
      <w:r>
        <w:rPr>
          <w:rFonts w:hint="eastAsia" w:ascii="Calibri" w:hAnsi="Calibri" w:eastAsia="宋体" w:cs="宋体"/>
          <w:sz w:val="24"/>
          <w:szCs w:val="24"/>
          <w:lang w:eastAsia="zh-CN"/>
        </w:rPr>
        <w:t xml:space="preserve"> </w:t>
      </w:r>
      <w:r>
        <w:rPr>
          <w:rFonts w:hint="eastAsia" w:ascii="宋体" w:hAnsi="宋体" w:eastAsia="宋体" w:cs="宋体"/>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hint="eastAsia" w:ascii="宋体" w:hAnsi="宋体" w:eastAsia="宋体" w:cs="宋体"/>
          <w:sz w:val="24"/>
          <w:szCs w:val="24"/>
          <w:lang w:eastAsia="zh-CN"/>
        </w:rPr>
        <w:t>.5.</w:t>
      </w:r>
      <w:r>
        <w:rPr>
          <w:rFonts w:hint="eastAsia" w:ascii="Calibri" w:hAnsi="Calibri" w:eastAsia="宋体" w:cs="宋体"/>
          <w:sz w:val="24"/>
          <w:szCs w:val="24"/>
          <w:lang w:eastAsia="zh-CN"/>
        </w:rPr>
        <w:t xml:space="preserve">2 </w:t>
      </w:r>
      <w:r>
        <w:rPr>
          <w:rFonts w:hint="eastAsia" w:ascii="宋体" w:hAnsi="宋体" w:eastAsia="宋体" w:cs="宋体"/>
          <w:sz w:val="24"/>
          <w:szCs w:val="24"/>
          <w:lang w:eastAsia="zh-CN"/>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Calibri" w:hAnsi="Calibri" w:eastAsia="宋体" w:cs="宋体"/>
          <w:sz w:val="24"/>
          <w:szCs w:val="24"/>
          <w:lang w:eastAsia="zh-CN"/>
        </w:rPr>
        <w:t>、</w:t>
      </w:r>
      <w:r>
        <w:rPr>
          <w:rFonts w:hint="eastAsia" w:ascii="宋体" w:hAnsi="宋体" w:eastAsia="宋体" w:cs="宋体"/>
          <w:sz w:val="24"/>
          <w:szCs w:val="24"/>
          <w:lang w:eastAsia="zh-CN"/>
        </w:rPr>
        <w:t>加盖公章。供应商为自然人的，应当由本人签字并附身份证明。澄清、说明或者更正文件将作为响应文件内容的一部分。</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pPr>
        <w:widowControl w:val="0"/>
        <w:kinsoku/>
        <w:wordWrap w:val="0"/>
        <w:autoSpaceDE/>
        <w:autoSpaceDN/>
        <w:adjustRightInd/>
        <w:snapToGrid/>
        <w:spacing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6.8 已提交响应文件的供应商，在提交最后报价之前，可以根据磋商情况退出磋商。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7.最后报价的算术修正及政策调整</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最后报价须包含竞争性磋商文件全部内容，最后报价出现大写金额和小写金额不一致的，以大写金额为准。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8.评审方法和评审标准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8.2 竞争性磋商文件中没有规定的评审标准不得作为评审依据。</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8.3 非政府强制采购的节能产品或环境标志产品，依据品目清单和认证证书实施政府优先采购。优先采购的具体规定（如涉及）。</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8.4 关于无线局域网认证产品政府采购清单中的产品，优先采购的具体规定（如涉及）</w:t>
      </w:r>
      <w:r>
        <w:rPr>
          <w:rFonts w:ascii="Calibri" w:hAnsi="Calibri" w:eastAsia="宋体" w:cs="Times New Roman"/>
          <w:snapToGrid/>
          <w:color w:val="auto"/>
          <w:spacing w:val="-25"/>
          <w:kern w:val="2"/>
          <w:sz w:val="24"/>
          <w:szCs w:val="24"/>
          <w:lang w:eastAsia="zh-CN"/>
        </w:rPr>
        <w:t>。</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9.确定成交候选人名单</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widowControl w:val="0"/>
        <w:kinsoku/>
        <w:wordWrap w:val="0"/>
        <w:autoSpaceDE/>
        <w:autoSpaceDN/>
        <w:adjustRightInd/>
        <w:snapToGrid/>
        <w:spacing w:after="120" w:line="360" w:lineRule="auto"/>
        <w:ind w:firstLine="482" w:firstLineChars="200"/>
        <w:jc w:val="both"/>
        <w:textAlignment w:val="auto"/>
        <w:rPr>
          <w:rFonts w:ascii="Calibri" w:hAnsi="Calibri" w:eastAsia="宋体" w:cs="Times New Roman"/>
          <w:b/>
          <w:bCs/>
          <w:snapToGrid/>
          <w:color w:val="auto"/>
          <w:kern w:val="2"/>
          <w:sz w:val="24"/>
          <w:szCs w:val="24"/>
          <w:lang w:eastAsia="zh-CN"/>
        </w:rPr>
      </w:pPr>
      <w:r>
        <w:rPr>
          <w:rFonts w:hint="eastAsia" w:ascii="Calibri" w:hAnsi="Calibri" w:eastAsia="宋体" w:cs="宋体"/>
          <w:b/>
          <w:bCs/>
          <w:sz w:val="24"/>
          <w:szCs w:val="24"/>
          <w:lang w:eastAsia="zh-CN"/>
        </w:rPr>
        <w:t>9.2 磋商小组要对评分汇总情况进行复核，特别是对排名第一的、报价最低的、响应文件被认定为无效的情形进行重点复核。</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宋体"/>
          <w:sz w:val="24"/>
          <w:szCs w:val="24"/>
          <w:lang w:eastAsia="zh-CN"/>
        </w:rPr>
      </w:pPr>
      <w:r>
        <w:rPr>
          <w:rFonts w:hint="eastAsia" w:ascii="Calibri" w:hAnsi="Calibri" w:eastAsia="宋体" w:cs="宋体"/>
          <w:sz w:val="24"/>
          <w:szCs w:val="24"/>
          <w:lang w:eastAsia="zh-CN"/>
        </w:rPr>
        <w:t>9.3 ☑ 磋商小组根据上述供应商排序，依次推荐排序前3名的供应商为成交候选供应商。采购人应当自收到评审报告之日起5个工作日内在评审报告推荐的成交候选人中按顺序确定成交供应商。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□采购人书面授权磋商小组直接确定成交供应商。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10.报告违法行为</w:t>
      </w:r>
    </w:p>
    <w:p>
      <w:pPr>
        <w:widowControl w:val="0"/>
        <w:kinsoku/>
        <w:wordWrap w:val="0"/>
        <w:autoSpaceDE/>
        <w:autoSpaceDN/>
        <w:adjustRightInd/>
        <w:snapToGrid/>
        <w:spacing w:after="120" w:line="360" w:lineRule="auto"/>
        <w:ind w:firstLine="480" w:firstLineChars="200"/>
        <w:jc w:val="both"/>
        <w:textAlignment w:val="auto"/>
        <w:rPr>
          <w:rFonts w:hAnsi="Calibri" w:eastAsia="宋体" w:cs="Times New Roman"/>
          <w:snapToGrid/>
          <w:color w:val="auto"/>
          <w:kern w:val="2"/>
          <w:szCs w:val="24"/>
          <w:lang w:eastAsia="zh-CN"/>
        </w:rPr>
      </w:pPr>
      <w:r>
        <w:rPr>
          <w:rFonts w:hint="eastAsia" w:ascii="Calibri" w:hAnsi="Calibri" w:eastAsia="宋体" w:cs="宋体"/>
          <w:sz w:val="24"/>
          <w:szCs w:val="24"/>
          <w:lang w:eastAsia="zh-CN"/>
        </w:rPr>
        <w:t>10.1 磋商小组在评审过程中发现供应商有行贿、提供虚假材料或者串通等违法行为时，有向采购人、采购代理机构或者有关部门报告的职责。</w:t>
      </w:r>
    </w:p>
    <w:p>
      <w:pPr>
        <w:widowControl w:val="0"/>
        <w:kinsoku/>
        <w:wordWrap w:val="0"/>
        <w:autoSpaceDE/>
        <w:autoSpaceDN/>
        <w:adjustRightInd/>
        <w:snapToGrid/>
        <w:spacing w:before="78" w:after="120" w:line="221" w:lineRule="auto"/>
        <w:jc w:val="center"/>
        <w:textAlignment w:val="auto"/>
        <w:outlineLvl w:val="1"/>
        <w:rPr>
          <w:rFonts w:ascii="Calibri" w:hAnsi="Calibri" w:eastAsia="宋体" w:cs="Times New Roman"/>
          <w:snapToGrid/>
          <w:color w:val="auto"/>
          <w:spacing w:val="-2"/>
          <w:kern w:val="2"/>
          <w:sz w:val="24"/>
          <w:szCs w:val="24"/>
          <w:lang w:eastAsia="zh-CN"/>
          <w14:textOutline w14:w="1536" w14:cap="flat" w14:cmpd="sng" w14:algn="ctr">
            <w14:solidFill>
              <w14:srgbClr w14:val="000000"/>
            </w14:solidFill>
            <w14:prstDash w14:val="solid"/>
            <w14:miter w14:val="0"/>
          </w14:textOutline>
        </w:rPr>
      </w:pPr>
      <w:r>
        <w:rPr>
          <w:rFonts w:ascii="Calibri" w:hAnsi="Calibri" w:eastAsia="宋体" w:cs="Times New Roman"/>
          <w:snapToGrid/>
          <w:color w:val="auto"/>
          <w:spacing w:val="-2"/>
          <w:kern w:val="2"/>
          <w:sz w:val="24"/>
          <w:szCs w:val="24"/>
          <w:lang w:eastAsia="zh-CN"/>
          <w14:textOutline w14:w="1536" w14:cap="flat" w14:cmpd="sng" w14:algn="ctr">
            <w14:solidFill>
              <w14:srgbClr w14:val="000000"/>
            </w14:solidFill>
            <w14:prstDash w14:val="solid"/>
            <w14:miter w14:val="0"/>
          </w14:textOutline>
        </w:rPr>
        <w:t>评审标准</w:t>
      </w:r>
    </w:p>
    <w:p>
      <w:pPr>
        <w:widowControl w:val="0"/>
        <w:kinsoku/>
        <w:snapToGrid/>
        <w:textAlignment w:val="auto"/>
        <w:rPr>
          <w:rFonts w:ascii="宋体" w:hAnsi="Times New Roman" w:eastAsia="宋体" w:cs="宋体"/>
          <w:snapToGrid/>
          <w:sz w:val="24"/>
          <w:szCs w:val="24"/>
          <w:lang w:eastAsia="zh-CN"/>
        </w:rPr>
      </w:pPr>
    </w:p>
    <w:tbl>
      <w:tblPr>
        <w:tblStyle w:val="38"/>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449"/>
        <w:gridCol w:w="751"/>
        <w:gridCol w:w="1228"/>
        <w:gridCol w:w="4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61" w:type="dxa"/>
          </w:tcPr>
          <w:p>
            <w:pPr>
              <w:widowControl w:val="0"/>
              <w:kinsoku/>
              <w:wordWrap w:val="0"/>
              <w:autoSpaceDE/>
              <w:autoSpaceDN/>
              <w:adjustRightInd/>
              <w:snapToGrid/>
              <w:spacing w:before="40" w:line="208" w:lineRule="auto"/>
              <w:ind w:left="19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14:textOutline w14:w="1536" w14:cap="flat" w14:cmpd="sng" w14:algn="ctr">
                  <w14:solidFill>
                    <w14:srgbClr w14:val="000000"/>
                  </w14:solidFill>
                  <w14:prstDash w14:val="solid"/>
                  <w14:miter w14:val="0"/>
                </w14:textOutline>
              </w:rPr>
              <w:t>序号</w:t>
            </w:r>
          </w:p>
        </w:tc>
        <w:tc>
          <w:tcPr>
            <w:tcW w:w="1449" w:type="dxa"/>
          </w:tcPr>
          <w:p>
            <w:pPr>
              <w:widowControl w:val="0"/>
              <w:kinsoku/>
              <w:wordWrap w:val="0"/>
              <w:autoSpaceDE/>
              <w:autoSpaceDN/>
              <w:adjustRightInd/>
              <w:snapToGrid/>
              <w:spacing w:before="40" w:line="208" w:lineRule="auto"/>
              <w:ind w:left="26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14:textOutline w14:w="1536" w14:cap="flat" w14:cmpd="sng" w14:algn="ctr">
                  <w14:solidFill>
                    <w14:srgbClr w14:val="000000"/>
                  </w14:solidFill>
                  <w14:prstDash w14:val="solid"/>
                  <w14:miter w14:val="0"/>
                </w14:textOutline>
              </w:rPr>
              <w:t>评分因素</w:t>
            </w:r>
          </w:p>
        </w:tc>
        <w:tc>
          <w:tcPr>
            <w:tcW w:w="751" w:type="dxa"/>
          </w:tcPr>
          <w:p>
            <w:pPr>
              <w:widowControl w:val="0"/>
              <w:kinsoku/>
              <w:wordWrap w:val="0"/>
              <w:autoSpaceDE/>
              <w:autoSpaceDN/>
              <w:adjustRightInd/>
              <w:snapToGrid/>
              <w:spacing w:before="40" w:line="208" w:lineRule="auto"/>
              <w:ind w:firstLine="232" w:firstLineChars="1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4"/>
                <w:kern w:val="2"/>
                <w:sz w:val="24"/>
                <w:szCs w:val="24"/>
                <w:lang w:eastAsia="zh-CN"/>
                <w14:textOutline w14:w="1536" w14:cap="flat" w14:cmpd="sng" w14:algn="ctr">
                  <w14:solidFill>
                    <w14:srgbClr w14:val="000000"/>
                  </w14:solidFill>
                  <w14:prstDash w14:val="solid"/>
                  <w14:miter w14:val="0"/>
                </w14:textOutline>
              </w:rPr>
              <w:t>分值</w:t>
            </w:r>
          </w:p>
        </w:tc>
        <w:tc>
          <w:tcPr>
            <w:tcW w:w="6178" w:type="dxa"/>
            <w:gridSpan w:val="2"/>
          </w:tcPr>
          <w:p>
            <w:pPr>
              <w:widowControl w:val="0"/>
              <w:kinsoku/>
              <w:wordWrap w:val="0"/>
              <w:autoSpaceDE/>
              <w:autoSpaceDN/>
              <w:adjustRightInd/>
              <w:snapToGrid/>
              <w:spacing w:before="40" w:line="208"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14:textOutline w14:w="1536" w14:cap="flat" w14:cmpd="sng" w14:algn="ctr">
                  <w14:solidFill>
                    <w14:srgbClr w14:val="000000"/>
                  </w14:solidFill>
                  <w14:prstDash w14:val="solid"/>
                  <w14:miter w14:val="0"/>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761" w:type="dxa"/>
            <w:vAlign w:val="center"/>
          </w:tcPr>
          <w:p>
            <w:pPr>
              <w:kinsoku/>
              <w:wordWrap w:val="0"/>
              <w:jc w:val="center"/>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r>
              <w:rPr>
                <w:rFonts w:hint="eastAsia" w:ascii="宋体" w:hAnsi="宋体" w:eastAsia="宋体" w:cs="宋体"/>
                <w:lang w:eastAsia="zh-CN"/>
              </w:rPr>
              <w:t>1</w:t>
            </w:r>
          </w:p>
        </w:tc>
        <w:tc>
          <w:tcPr>
            <w:tcW w:w="1449" w:type="dxa"/>
            <w:vAlign w:val="center"/>
          </w:tcPr>
          <w:p>
            <w:pPr>
              <w:kinsoku/>
              <w:wordWrap w:val="0"/>
              <w:spacing w:line="295" w:lineRule="auto"/>
              <w:jc w:val="both"/>
              <w:rPr>
                <w:rFonts w:hint="eastAsia" w:ascii="宋体" w:hAnsi="宋体" w:eastAsia="宋体" w:cs="宋体"/>
              </w:rPr>
            </w:pPr>
          </w:p>
          <w:p>
            <w:pPr>
              <w:widowControl w:val="0"/>
              <w:kinsoku/>
              <w:wordWrap w:val="0"/>
              <w:autoSpaceDE/>
              <w:autoSpaceDN/>
              <w:adjustRightInd/>
              <w:snapToGrid/>
              <w:spacing w:before="78" w:line="219"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rPr>
              <w:t>磋商报价</w:t>
            </w:r>
          </w:p>
        </w:tc>
        <w:tc>
          <w:tcPr>
            <w:tcW w:w="751" w:type="dxa"/>
          </w:tcPr>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40" w:firstLineChars="100"/>
              <w:jc w:val="both"/>
              <w:rPr>
                <w:rFonts w:hint="eastAsia" w:ascii="宋体" w:hAnsi="宋体" w:eastAsia="宋体" w:cs="宋体"/>
              </w:rPr>
            </w:pPr>
            <w:r>
              <w:rPr>
                <w:rFonts w:hint="eastAsia" w:ascii="宋体" w:hAnsi="宋体" w:eastAsia="宋体" w:cs="宋体"/>
                <w:sz w:val="24"/>
                <w:szCs w:val="24"/>
                <w:lang w:eastAsia="zh-CN"/>
              </w:rPr>
              <w:t>30分</w:t>
            </w:r>
          </w:p>
        </w:tc>
        <w:tc>
          <w:tcPr>
            <w:tcW w:w="6178" w:type="dxa"/>
            <w:gridSpan w:val="2"/>
          </w:tcPr>
          <w:p>
            <w:pPr>
              <w:spacing w:line="360" w:lineRule="auto"/>
              <w:ind w:firstLine="480" w:firstLineChars="200"/>
              <w:rPr>
                <w:rFonts w:ascii="宋体" w:hAnsi="宋体" w:cs="宋体"/>
                <w:kern w:val="2"/>
                <w:sz w:val="24"/>
                <w:szCs w:val="24"/>
                <w:lang w:eastAsia="zh-CN"/>
              </w:rPr>
            </w:pPr>
            <w:r>
              <w:rPr>
                <w:rFonts w:hint="eastAsia" w:ascii="宋体" w:hAnsi="宋体" w:cs="宋体"/>
                <w:kern w:val="2"/>
                <w:sz w:val="24"/>
                <w:szCs w:val="24"/>
                <w:lang w:eastAsia="zh-CN"/>
              </w:rPr>
              <w:t xml:space="preserve">满足招标文件要求且投标价格最低的投标报价为评标基准价，其价格分为满分30分，其他投标人的价格分按照下列公式计算： </w:t>
            </w:r>
          </w:p>
          <w:p>
            <w:pPr>
              <w:spacing w:line="360" w:lineRule="auto"/>
              <w:ind w:firstLine="480" w:firstLineChars="200"/>
              <w:rPr>
                <w:rFonts w:ascii="宋体" w:hAnsi="宋体" w:cs="宋体"/>
                <w:kern w:val="2"/>
                <w:sz w:val="24"/>
                <w:szCs w:val="24"/>
                <w:lang w:eastAsia="zh-CN"/>
              </w:rPr>
            </w:pPr>
            <w:r>
              <w:rPr>
                <w:rFonts w:hint="eastAsia" w:ascii="宋体" w:hAnsi="宋体" w:cs="宋体"/>
                <w:kern w:val="2"/>
                <w:sz w:val="24"/>
                <w:szCs w:val="24"/>
                <w:lang w:eastAsia="zh-CN"/>
              </w:rPr>
              <w:t xml:space="preserve">报价得分=（评标基准价/投标报价）×30%×100 </w:t>
            </w:r>
          </w:p>
          <w:p>
            <w:pPr>
              <w:spacing w:line="360" w:lineRule="auto"/>
              <w:ind w:firstLine="480" w:firstLineChars="200"/>
              <w:rPr>
                <w:rFonts w:hint="eastAsia" w:ascii="宋体" w:hAnsi="宋体" w:eastAsia="宋体" w:cs="宋体"/>
                <w:snapToGrid/>
                <w:color w:val="auto"/>
                <w:kern w:val="2"/>
                <w:sz w:val="24"/>
                <w:szCs w:val="24"/>
                <w:lang w:eastAsia="zh-CN"/>
              </w:rPr>
            </w:pPr>
            <w:r>
              <w:rPr>
                <w:rFonts w:hint="eastAsia" w:ascii="宋体" w:hAnsi="宋体" w:cs="宋体"/>
                <w:kern w:val="2"/>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10%后参与评审。参与优惠企业的报价=投标报价*（1-10%）。对于同时属于小微企业、监狱企业或残疾人福利性单位的，不重复进行投标报价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restart"/>
            <w:vAlign w:val="center"/>
          </w:tcPr>
          <w:p>
            <w:pPr>
              <w:kinsoku/>
              <w:wordWrap w:val="0"/>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2</w:t>
            </w:r>
          </w:p>
        </w:tc>
        <w:tc>
          <w:tcPr>
            <w:tcW w:w="1449" w:type="dxa"/>
            <w:vMerge w:val="restart"/>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napToGrid/>
                <w:color w:val="auto"/>
                <w:spacing w:val="-13"/>
                <w:kern w:val="2"/>
                <w:sz w:val="24"/>
                <w:szCs w:val="24"/>
                <w:lang w:eastAsia="zh-CN"/>
              </w:rPr>
            </w:pPr>
            <w:r>
              <w:rPr>
                <w:rFonts w:hint="eastAsia" w:ascii="宋体" w:hAnsi="宋体" w:eastAsia="宋体" w:cs="宋体"/>
                <w:spacing w:val="-13"/>
                <w:sz w:val="24"/>
                <w:szCs w:val="24"/>
                <w:lang w:eastAsia="zh-CN"/>
              </w:rPr>
              <w:t>技术部分</w:t>
            </w:r>
          </w:p>
        </w:tc>
        <w:tc>
          <w:tcPr>
            <w:tcW w:w="751" w:type="dxa"/>
            <w:vMerge w:val="restart"/>
          </w:tcPr>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50分</w:t>
            </w:r>
          </w:p>
        </w:tc>
        <w:tc>
          <w:tcPr>
            <w:tcW w:w="1228" w:type="dxa"/>
            <w:vAlign w:val="center"/>
          </w:tcPr>
          <w:p>
            <w:pPr>
              <w:kinsoku/>
              <w:autoSpaceDE/>
              <w:autoSpaceDN/>
              <w:adjustRightInd/>
              <w:snapToGrid/>
              <w:spacing w:line="360" w:lineRule="auto"/>
              <w:textAlignment w:val="auto"/>
              <w:rPr>
                <w:rFonts w:hint="eastAsia" w:ascii="宋体" w:hAnsi="宋体" w:eastAsia="宋体" w:cs="宋体"/>
                <w:snapToGrid/>
                <w:color w:val="auto"/>
                <w:sz w:val="24"/>
                <w:szCs w:val="24"/>
                <w:lang w:eastAsia="zh-CN" w:bidi="ar"/>
              </w:rPr>
            </w:pPr>
            <w:r>
              <w:rPr>
                <w:rFonts w:hint="eastAsia" w:ascii="宋体" w:hAnsi="宋体" w:eastAsia="宋体" w:cs="宋体"/>
                <w:snapToGrid/>
                <w:color w:val="auto"/>
                <w:sz w:val="24"/>
                <w:szCs w:val="24"/>
                <w:lang w:eastAsia="zh-CN" w:bidi="ar"/>
              </w:rPr>
              <w:t>技术指标响应情况</w:t>
            </w:r>
          </w:p>
          <w:p>
            <w:pPr>
              <w:kinsoku/>
              <w:wordWrap w:val="0"/>
              <w:spacing w:before="26" w:line="228" w:lineRule="auto"/>
              <w:ind w:left="111" w:right="103" w:firstLine="4"/>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（3</w:t>
            </w:r>
            <w:r>
              <w:rPr>
                <w:rFonts w:hint="eastAsia" w:ascii="宋体" w:hAnsi="宋体" w:cs="宋体"/>
                <w:color w:val="auto"/>
                <w:sz w:val="24"/>
                <w:szCs w:val="24"/>
                <w:lang w:eastAsia="zh-CN"/>
              </w:rPr>
              <w:t>0</w:t>
            </w:r>
            <w:r>
              <w:rPr>
                <w:rFonts w:hint="eastAsia" w:ascii="宋体" w:hAnsi="宋体" w:eastAsia="宋体" w:cs="宋体"/>
                <w:color w:val="auto"/>
                <w:sz w:val="24"/>
                <w:szCs w:val="24"/>
                <w:lang w:eastAsia="zh-CN"/>
              </w:rPr>
              <w:t>分）</w:t>
            </w:r>
          </w:p>
        </w:tc>
        <w:tc>
          <w:tcPr>
            <w:tcW w:w="4950" w:type="dxa"/>
            <w:vAlign w:val="center"/>
          </w:tcPr>
          <w:p>
            <w:pPr>
              <w:widowControl w:val="0"/>
              <w:kinsoku/>
              <w:autoSpaceDE/>
              <w:autoSpaceDN/>
              <w:adjustRightInd/>
              <w:snapToGrid/>
              <w:spacing w:line="46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评标委员会根据各供应商所投产品的技术响应情况进行评价，完全满足招标文件要求得30分。</w:t>
            </w:r>
          </w:p>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技术参数与招标文件有负偏差，或未达到招标文件要求指标的每有一项扣</w:t>
            </w:r>
            <w:r>
              <w:rPr>
                <w:rFonts w:hint="eastAsia"/>
                <w:color w:val="auto"/>
                <w:sz w:val="24"/>
                <w:szCs w:val="24"/>
                <w:lang w:eastAsia="zh-CN"/>
              </w:rPr>
              <w:t xml:space="preserve"> </w:t>
            </w:r>
            <w:r>
              <w:rPr>
                <w:rFonts w:hint="eastAsia" w:ascii="宋体" w:hAnsi="宋体" w:eastAsia="宋体"/>
                <w:color w:val="auto"/>
                <w:sz w:val="24"/>
                <w:szCs w:val="24"/>
                <w:lang w:eastAsia="zh-CN"/>
              </w:rPr>
              <w:t>3</w:t>
            </w:r>
            <w:r>
              <w:rPr>
                <w:rFonts w:hint="eastAsia" w:ascii="宋体" w:hAnsi="宋体" w:eastAsia="宋体" w:cs="宋体"/>
                <w:color w:val="auto"/>
                <w:sz w:val="24"/>
                <w:szCs w:val="24"/>
                <w:lang w:eastAsia="zh-CN"/>
              </w:rPr>
              <w:t>分，扣完为止。（投标人须提供相关的产品说明书或检测报告或技术产品彩页或技术白皮书或认证证书作为参数支撑材料，以投标文件中加盖供应商公章的清晰复印件为准（如技术参数中有要求的证明文件，以技术参数中需提供的证明文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项目实施方案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根据供应商提供的设备供货、安装、调试、验收方案进行评审，方案完善、</w:t>
            </w:r>
            <w:r>
              <w:rPr>
                <w:rFonts w:hint="eastAsia" w:ascii="宋体" w:hAnsi="宋体" w:eastAsia="宋体" w:cs="宋体"/>
                <w:color w:val="auto"/>
                <w:sz w:val="24"/>
                <w:lang w:eastAsia="zh-CN"/>
              </w:rPr>
              <w:t>合理、可行：优：5分，良：3分，一般：1分。</w:t>
            </w:r>
            <w:r>
              <w:rPr>
                <w:rFonts w:hint="eastAsia" w:ascii="宋体" w:hAnsi="宋体" w:eastAsia="宋体"/>
                <w:color w:val="000000" w:themeColor="text1"/>
                <w:lang w:eastAsia="zh-CN"/>
                <w14:textFill>
                  <w14:solidFill>
                    <w14:schemeClr w14:val="tx1"/>
                  </w14:solidFill>
                </w14:textFill>
              </w:rPr>
              <w:t>不提供实施方案的不得分。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售后服务计划</w:t>
            </w:r>
            <w:r>
              <w:rPr>
                <w:rFonts w:hint="eastAsia" w:ascii="宋体" w:hAnsi="宋体" w:eastAsia="宋体" w:cs="宋体"/>
                <w:color w:val="auto"/>
                <w:sz w:val="24"/>
                <w:szCs w:val="24"/>
                <w:lang w:eastAsia="zh-CN"/>
              </w:rPr>
              <w:t>（5分）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根据供应商提供的售后服务计划（售后服务计划可行性、响应时间、到达现场时间、质保期及免费升级时间等）进行评审，方案完善、</w:t>
            </w:r>
            <w:r>
              <w:rPr>
                <w:rFonts w:hint="eastAsia" w:ascii="宋体" w:hAnsi="宋体" w:eastAsia="宋体" w:cs="宋体"/>
                <w:color w:val="auto"/>
                <w:sz w:val="24"/>
                <w:lang w:eastAsia="zh-CN"/>
              </w:rPr>
              <w:t>合理、可行：优：5分，良：3分，一般：1分。</w:t>
            </w:r>
            <w:r>
              <w:rPr>
                <w:rFonts w:hint="eastAsia" w:ascii="宋体" w:hAnsi="宋体" w:eastAsia="宋体"/>
                <w:color w:val="000000" w:themeColor="text1"/>
                <w:lang w:eastAsia="zh-CN"/>
                <w14:textFill>
                  <w14:solidFill>
                    <w14:schemeClr w14:val="tx1"/>
                  </w14:solidFill>
                </w14:textFill>
              </w:rPr>
              <w:t>没有售后服务计划的不得分。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培训方案</w:t>
            </w:r>
          </w:p>
          <w:p>
            <w:pPr>
              <w:kinsoku/>
              <w:wordWrap w:val="0"/>
              <w:spacing w:before="26" w:line="228" w:lineRule="auto"/>
              <w:ind w:left="111" w:right="103" w:firstLine="4"/>
              <w:jc w:val="both"/>
              <w:rPr>
                <w:rFonts w:hint="eastAsia" w:ascii="宋体" w:hAnsi="宋体" w:eastAsia="宋体" w:cs="宋体"/>
                <w:spacing w:val="-13"/>
                <w:sz w:val="24"/>
                <w:szCs w:val="24"/>
              </w:rPr>
            </w:pPr>
            <w:r>
              <w:rPr>
                <w:rFonts w:hint="eastAsia" w:ascii="宋体" w:hAnsi="宋体" w:eastAsia="宋体" w:cs="宋体"/>
                <w:color w:val="auto"/>
                <w:sz w:val="24"/>
                <w:szCs w:val="24"/>
                <w:lang w:eastAsia="zh-CN"/>
              </w:rPr>
              <w:t>（5分）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根据供应商提供的培训方案（现场培训服务、培训方式）进行评审，方案完善、</w:t>
            </w:r>
            <w:r>
              <w:rPr>
                <w:rFonts w:hint="eastAsia" w:ascii="宋体" w:hAnsi="宋体" w:eastAsia="宋体" w:cs="宋体"/>
                <w:color w:val="auto"/>
                <w:sz w:val="24"/>
                <w:lang w:eastAsia="zh-CN"/>
              </w:rPr>
              <w:t>合理、可行：优：5分，良：3分，一般：1分。不提供培训方案的不得分。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2"/>
                <w:lang w:eastAsia="zh-CN"/>
              </w:rPr>
            </w:pPr>
            <w:r>
              <w:rPr>
                <w:rFonts w:hint="eastAsia" w:ascii="宋体" w:hAnsi="宋体" w:eastAsia="宋体" w:cs="宋体"/>
                <w:snapToGrid/>
                <w:color w:val="auto"/>
                <w:kern w:val="2"/>
                <w:sz w:val="24"/>
                <w:szCs w:val="22"/>
                <w:lang w:eastAsia="zh-CN"/>
              </w:rPr>
              <w:t>项目重点难点分析（5分）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lang w:eastAsia="zh-CN"/>
              </w:rPr>
              <w:t>针对项目重点难点分析，所应对规避措施，合理化建议等内容进行打分，优：5分，良：3分，一般：1分。</w:t>
            </w:r>
            <w:r>
              <w:rPr>
                <w:rFonts w:hint="eastAsia" w:ascii="宋体" w:hAnsi="宋体" w:eastAsia="宋体"/>
                <w:color w:val="000000" w:themeColor="text1"/>
                <w:lang w:eastAsia="zh-CN"/>
                <w14:textFill>
                  <w14:solidFill>
                    <w14:schemeClr w14:val="tx1"/>
                  </w14:solidFill>
                </w14:textFill>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61" w:type="dxa"/>
            <w:vMerge w:val="restart"/>
            <w:vAlign w:val="center"/>
          </w:tcPr>
          <w:p>
            <w:pPr>
              <w:kinsoku/>
              <w:wordWrap w:val="0"/>
              <w:jc w:val="center"/>
              <w:rPr>
                <w:rFonts w:hint="eastAsia" w:ascii="宋体" w:hAnsi="宋体" w:eastAsia="宋体" w:cs="宋体"/>
                <w:lang w:eastAsia="zh-CN"/>
              </w:rPr>
            </w:pPr>
            <w:r>
              <w:rPr>
                <w:rFonts w:hint="eastAsia" w:ascii="宋体" w:hAnsi="宋体" w:eastAsia="宋体" w:cs="宋体"/>
                <w:lang w:eastAsia="zh-CN"/>
              </w:rPr>
              <w:t>3</w:t>
            </w:r>
          </w:p>
        </w:tc>
        <w:tc>
          <w:tcPr>
            <w:tcW w:w="1449" w:type="dxa"/>
            <w:vMerge w:val="restart"/>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rPr>
              <w:t>综合部分</w:t>
            </w:r>
          </w:p>
        </w:tc>
        <w:tc>
          <w:tcPr>
            <w:tcW w:w="751" w:type="dxa"/>
            <w:vMerge w:val="restart"/>
          </w:tcPr>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rPr>
            </w:pPr>
            <w:r>
              <w:rPr>
                <w:rFonts w:hint="eastAsia" w:ascii="宋体" w:hAnsi="宋体" w:eastAsia="宋体" w:cs="宋体"/>
                <w:spacing w:val="-13"/>
                <w:sz w:val="24"/>
                <w:szCs w:val="24"/>
                <w:lang w:eastAsia="zh-CN"/>
              </w:rPr>
              <w:t>20分</w:t>
            </w:r>
          </w:p>
        </w:tc>
        <w:tc>
          <w:tcPr>
            <w:tcW w:w="1228" w:type="dxa"/>
          </w:tcPr>
          <w:p>
            <w:pPr>
              <w:kinsoku/>
              <w:wordWrap w:val="0"/>
              <w:spacing w:before="26" w:line="228" w:lineRule="auto"/>
              <w:ind w:left="111" w:right="103" w:firstLine="4"/>
              <w:jc w:val="both"/>
              <w:rPr>
                <w:rFonts w:hint="eastAsia" w:ascii="宋体" w:hAnsi="宋体" w:eastAsia="宋体" w:cs="宋体"/>
                <w:spacing w:val="-13"/>
                <w:sz w:val="24"/>
                <w:szCs w:val="24"/>
                <w:lang w:eastAsia="zh-CN"/>
              </w:rPr>
            </w:pPr>
          </w:p>
          <w:p>
            <w:pPr>
              <w:kinsoku/>
              <w:wordWrap w:val="0"/>
              <w:spacing w:before="26" w:line="228" w:lineRule="auto"/>
              <w:ind w:left="111" w:right="103" w:firstLine="4"/>
              <w:jc w:val="both"/>
              <w:rPr>
                <w:rFonts w:hint="eastAsia" w:ascii="宋体" w:hAnsi="宋体" w:eastAsia="宋体" w:cs="宋体"/>
                <w:spacing w:val="-13"/>
                <w:sz w:val="24"/>
                <w:szCs w:val="24"/>
              </w:rPr>
            </w:pPr>
            <w:r>
              <w:rPr>
                <w:rFonts w:hint="eastAsia" w:ascii="宋体" w:hAnsi="宋体" w:eastAsia="宋体" w:cs="宋体"/>
                <w:spacing w:val="-13"/>
                <w:sz w:val="24"/>
                <w:szCs w:val="24"/>
                <w:lang w:eastAsia="zh-CN"/>
              </w:rPr>
              <w:t>信用评价（2分）</w:t>
            </w:r>
          </w:p>
        </w:tc>
        <w:tc>
          <w:tcPr>
            <w:tcW w:w="4950" w:type="dxa"/>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61" w:type="dxa"/>
            <w:vMerge w:val="continue"/>
            <w:vAlign w:val="center"/>
          </w:tcPr>
          <w:p>
            <w:pPr>
              <w:kinsoku/>
              <w:wordWrap w:val="0"/>
              <w:jc w:val="center"/>
              <w:rPr>
                <w:rFonts w:hint="eastAsia" w:ascii="宋体" w:hAnsi="宋体" w:eastAsia="宋体" w:cs="宋体"/>
                <w:lang w:eastAsia="zh-CN"/>
              </w:rPr>
            </w:pPr>
          </w:p>
        </w:tc>
        <w:tc>
          <w:tcPr>
            <w:tcW w:w="1449" w:type="dxa"/>
            <w:vMerge w:val="continue"/>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spacing w:val="-2"/>
                <w:kern w:val="2"/>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kinsoku/>
              <w:autoSpaceDE/>
              <w:autoSpaceDN/>
              <w:adjustRightInd/>
              <w:snapToGrid/>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企业业绩</w:t>
            </w:r>
          </w:p>
          <w:p>
            <w:pPr>
              <w:kinsoku/>
              <w:wordWrap w:val="0"/>
              <w:spacing w:before="26" w:line="228" w:lineRule="auto"/>
              <w:ind w:right="103"/>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供应商</w:t>
            </w:r>
            <w:r>
              <w:rPr>
                <w:rFonts w:hint="eastAsia" w:ascii="宋体" w:hAnsi="宋体" w:cs="宋体"/>
                <w:color w:val="auto"/>
                <w:sz w:val="24"/>
                <w:szCs w:val="24"/>
                <w:lang w:eastAsia="zh-CN"/>
              </w:rPr>
              <w:t>2020</w:t>
            </w:r>
            <w:r>
              <w:rPr>
                <w:rFonts w:hint="eastAsia" w:ascii="宋体" w:hAnsi="宋体" w:eastAsia="宋体" w:cs="宋体"/>
                <w:color w:val="auto"/>
                <w:sz w:val="24"/>
                <w:szCs w:val="24"/>
                <w:lang w:eastAsia="zh-CN"/>
              </w:rPr>
              <w:t>年</w:t>
            </w: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月</w:t>
            </w: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日以来，签订有类似业绩，每份得</w:t>
            </w:r>
            <w:r>
              <w:rPr>
                <w:rFonts w:hint="eastAsia" w:ascii="宋体" w:hAnsi="宋体" w:cs="宋体"/>
                <w:color w:val="auto"/>
                <w:sz w:val="24"/>
                <w:szCs w:val="24"/>
                <w:lang w:eastAsia="zh-CN"/>
              </w:rPr>
              <w:t>2</w:t>
            </w:r>
            <w:r>
              <w:rPr>
                <w:rFonts w:hint="eastAsia" w:ascii="宋体" w:hAnsi="宋体" w:eastAsia="宋体" w:cs="宋体"/>
                <w:color w:val="auto"/>
                <w:sz w:val="24"/>
                <w:szCs w:val="24"/>
                <w:lang w:eastAsia="zh-CN"/>
              </w:rPr>
              <w:t>分，最多得6分。（</w:t>
            </w:r>
            <w:r>
              <w:rPr>
                <w:rFonts w:hint="eastAsia" w:ascii="宋体" w:hAnsi="宋体" w:eastAsia="宋体" w:cs="宋体"/>
                <w:color w:val="auto"/>
                <w:sz w:val="24"/>
                <w:szCs w:val="24"/>
                <w:lang w:eastAsia="zh-CN" w:bidi="ar"/>
              </w:rPr>
              <w:t>以企业诚信库中上传</w:t>
            </w:r>
            <w:r>
              <w:rPr>
                <w:rFonts w:hint="eastAsia" w:ascii="宋体" w:hAnsi="宋体" w:eastAsia="宋体" w:cs="宋体"/>
                <w:sz w:val="24"/>
                <w:szCs w:val="24"/>
                <w:lang w:eastAsia="zh-CN" w:bidi="ar"/>
              </w:rPr>
              <w:t>中标通知书和合同为准，时间以合同签订日期为准</w:t>
            </w:r>
            <w:r>
              <w:rPr>
                <w:rFonts w:hint="eastAsia" w:ascii="宋体" w:hAnsi="宋体" w:eastAsia="宋体" w:cs="宋体"/>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jc w:val="center"/>
              <w:rPr>
                <w:rFonts w:hint="eastAsia" w:ascii="宋体" w:hAnsi="宋体" w:eastAsia="宋体" w:cs="宋体"/>
                <w:lang w:eastAsia="zh-CN"/>
              </w:rPr>
            </w:pPr>
          </w:p>
        </w:tc>
        <w:tc>
          <w:tcPr>
            <w:tcW w:w="1449" w:type="dxa"/>
            <w:vMerge w:val="continue"/>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spacing w:val="-2"/>
                <w:kern w:val="2"/>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Merge w:val="restart"/>
            <w:vAlign w:val="center"/>
          </w:tcPr>
          <w:p>
            <w:pPr>
              <w:kinsoku/>
              <w:autoSpaceDE/>
              <w:autoSpaceDN/>
              <w:adjustRightInd/>
              <w:snapToGrid/>
              <w:spacing w:line="360" w:lineRule="auto"/>
              <w:textAlignment w:val="auto"/>
              <w:rPr>
                <w:rFonts w:hint="eastAsia" w:ascii="宋体" w:hAnsi="宋体" w:eastAsia="宋体" w:cs="宋体"/>
                <w:snapToGrid/>
                <w:color w:val="auto"/>
                <w:sz w:val="24"/>
                <w:szCs w:val="24"/>
                <w:lang w:eastAsia="zh-CN" w:bidi="ar"/>
              </w:rPr>
            </w:pPr>
          </w:p>
          <w:p>
            <w:pPr>
              <w:kinsoku/>
              <w:autoSpaceDE/>
              <w:autoSpaceDN/>
              <w:adjustRightInd/>
              <w:snapToGrid/>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bidi="ar"/>
              </w:rPr>
              <w:t>企业综合实力（12分）</w:t>
            </w: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投标人或制造商具有服务管理体系认证证书 (ISO/IEC 20000-1)，范围含法庭类系统服务的得2分。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lang w:eastAsia="zh-CN"/>
              </w:rPr>
            </w:pPr>
          </w:p>
        </w:tc>
        <w:tc>
          <w:tcPr>
            <w:tcW w:w="1449" w:type="dxa"/>
            <w:vMerge w:val="continue"/>
            <w:vAlign w:val="center"/>
          </w:tcPr>
          <w:p>
            <w:pPr>
              <w:kinsoku/>
              <w:wordWrap w:val="0"/>
              <w:spacing w:before="33" w:line="235" w:lineRule="auto"/>
              <w:ind w:left="76" w:right="23" w:firstLine="2"/>
              <w:jc w:val="both"/>
              <w:rPr>
                <w:lang w:eastAsia="zh-CN"/>
              </w:rPr>
            </w:pPr>
          </w:p>
        </w:tc>
        <w:tc>
          <w:tcPr>
            <w:tcW w:w="751" w:type="dxa"/>
            <w:vMerge w:val="continue"/>
          </w:tcPr>
          <w:p>
            <w:pPr>
              <w:kinsoku/>
              <w:wordWrap w:val="0"/>
              <w:spacing w:before="33" w:line="235" w:lineRule="auto"/>
              <w:ind w:left="76" w:right="23" w:firstLine="2"/>
              <w:jc w:val="both"/>
              <w:rPr>
                <w:lang w:eastAsia="zh-CN"/>
              </w:rPr>
            </w:pPr>
          </w:p>
        </w:tc>
        <w:tc>
          <w:tcPr>
            <w:tcW w:w="1228" w:type="dxa"/>
            <w:vMerge w:val="continue"/>
            <w:vAlign w:val="center"/>
          </w:tcPr>
          <w:p>
            <w:pPr>
              <w:kinsoku/>
              <w:wordWrap w:val="0"/>
              <w:spacing w:before="33" w:line="235" w:lineRule="auto"/>
              <w:ind w:left="76" w:right="23" w:firstLine="2"/>
              <w:jc w:val="both"/>
              <w:rPr>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投标人或制造商具有商品售后服务认证证书，范围含法庭系统的售后服务的得2分。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投标人或制造商具有质量管理体系认证证书(ISO9001)、范围含主机的设计、开发、生产等相关得2分。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投标人或制造商具有知识产权认证证书(GB/T 29490) 、范围含法庭系统的设计、开发等相关的知识产权管理的得3分。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为保证庭审管理平台及庭审软件无纸化庭审效果，厂商需要提供电子卷宗的存储方法，（地市级以上的政府部门出具的有效证明材料）得3分。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210" w:type="dxa"/>
            <w:gridSpan w:val="2"/>
          </w:tcPr>
          <w:p>
            <w:pPr>
              <w:widowControl w:val="0"/>
              <w:kinsoku/>
              <w:wordWrap w:val="0"/>
              <w:autoSpaceDE/>
              <w:autoSpaceDN/>
              <w:adjustRightInd/>
              <w:snapToGrid/>
              <w:spacing w:before="42" w:line="206" w:lineRule="auto"/>
              <w:ind w:left="932"/>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rPr>
              <w:t>合计</w:t>
            </w:r>
          </w:p>
        </w:tc>
        <w:tc>
          <w:tcPr>
            <w:tcW w:w="751" w:type="dxa"/>
          </w:tcPr>
          <w:p>
            <w:pPr>
              <w:kinsoku/>
              <w:wordWrap w:val="0"/>
              <w:spacing w:before="59" w:line="202" w:lineRule="auto"/>
              <w:ind w:left="265"/>
              <w:jc w:val="both"/>
              <w:rPr>
                <w:rFonts w:hint="eastAsia" w:ascii="宋体" w:hAnsi="宋体" w:eastAsia="宋体" w:cs="宋体"/>
                <w:sz w:val="24"/>
                <w:szCs w:val="24"/>
              </w:rPr>
            </w:pPr>
            <w:r>
              <w:rPr>
                <w:rFonts w:hint="eastAsia" w:ascii="宋体" w:hAnsi="宋体" w:eastAsia="宋体" w:cs="宋体"/>
                <w:spacing w:val="9"/>
                <w:sz w:val="24"/>
                <w:szCs w:val="24"/>
              </w:rPr>
              <w:t>100</w:t>
            </w:r>
          </w:p>
        </w:tc>
        <w:tc>
          <w:tcPr>
            <w:tcW w:w="6178" w:type="dxa"/>
            <w:gridSpan w:val="2"/>
          </w:tcPr>
          <w:p>
            <w:pPr>
              <w:kinsoku/>
              <w:wordWrap w:val="0"/>
              <w:jc w:val="both"/>
              <w:rPr>
                <w:rFonts w:hint="eastAsia" w:ascii="宋体" w:hAnsi="宋体" w:eastAsia="宋体" w:cs="宋体"/>
              </w:rPr>
            </w:pPr>
          </w:p>
        </w:tc>
      </w:tr>
      <w:bookmarkEnd w:id="13"/>
      <w:bookmarkEnd w:id="14"/>
    </w:tbl>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pPr>
        <w:kinsoku/>
        <w:wordWrap w:val="0"/>
        <w:spacing w:line="360" w:lineRule="auto"/>
        <w:ind w:firstLine="480" w:firstLineChars="200"/>
        <w:jc w:val="both"/>
        <w:rPr>
          <w:rFonts w:hint="eastAsia"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bookmarkEnd w:id="0"/>
    <w:p>
      <w:pPr>
        <w:kinsoku/>
        <w:wordWrap w:val="0"/>
        <w:spacing w:line="360" w:lineRule="auto"/>
        <w:jc w:val="both"/>
        <w:rPr>
          <w:rFonts w:hint="eastAsia" w:ascii="宋体" w:hAnsi="宋体" w:eastAsia="宋体" w:cs="宋体"/>
          <w:b/>
          <w:bCs/>
          <w:sz w:val="24"/>
          <w:szCs w:val="24"/>
          <w:lang w:eastAsia="zh-CN"/>
        </w:rPr>
      </w:pPr>
    </w:p>
    <w:p>
      <w:pPr>
        <w:kinsoku/>
        <w:wordWrap w:val="0"/>
        <w:spacing w:line="360" w:lineRule="auto"/>
        <w:jc w:val="both"/>
        <w:rPr>
          <w:rFonts w:hint="eastAsia" w:ascii="宋体" w:hAnsi="宋体" w:eastAsia="宋体" w:cs="宋体"/>
          <w:sz w:val="24"/>
          <w:szCs w:val="24"/>
          <w:lang w:eastAsia="zh-CN"/>
        </w:rPr>
      </w:pPr>
      <w:bookmarkStart w:id="16" w:name="_Hlk174565281"/>
      <w:r>
        <w:rPr>
          <w:rFonts w:hint="eastAsia" w:ascii="宋体" w:hAnsi="宋体" w:eastAsia="宋体" w:cs="宋体"/>
          <w:b/>
          <w:bCs/>
          <w:sz w:val="24"/>
          <w:szCs w:val="24"/>
          <w:lang w:eastAsia="zh-CN"/>
        </w:rPr>
        <w:t>六、成交通知及签订合同</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1.成交结果公布</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成交供应商确定后，采购人或采购代理机构将在“河南省政府采购网”和“南阳市公共资源交易中心网”上发布成交公告。</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2.发出成交通知书</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南阳市公共资源交易中心公共服务平台或电子营业执照应用平台”向成交供应商发出电子成交通知书，成交供应商可登陆南阳市公共资源交易平台会员系统或电子营业执照应用平台，自行打印加盖电子签章的成交通知书。</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3.签订合同</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成交供应商和采购人应在《成交通知书》发出后及时签订政府采购合同，逾期无故不签订的，按《政府采购竞争性磋商采购方式管理暂行办法》及有关规定处理。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pPr>
        <w:kinsoku/>
        <w:wordWrap w:val="0"/>
        <w:spacing w:line="360" w:lineRule="auto"/>
        <w:ind w:firstLine="480" w:firstLineChars="200"/>
        <w:jc w:val="both"/>
        <w:rPr>
          <w:rFonts w:hint="eastAsia" w:ascii="宋体" w:hAnsi="宋体" w:eastAsia="宋体" w:cs="宋体"/>
          <w:sz w:val="24"/>
          <w:szCs w:val="24"/>
          <w:lang w:eastAsia="zh-CN"/>
        </w:rPr>
      </w:pPr>
    </w:p>
    <w:p>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七、质疑与答复</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在线接收，请质疑人上传质疑函原件扫描件到南阳市公共资源交易系统或南阳市公共资源电子营业执照应用平台并电话通知到项目负责人。</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8"/>
        <w:kinsoku/>
        <w:wordWrap w:val="0"/>
        <w:spacing w:line="360" w:lineRule="auto"/>
        <w:ind w:firstLine="488"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kinsoku/>
        <w:wordWrap w:val="0"/>
        <w:spacing w:line="360" w:lineRule="auto"/>
        <w:jc w:val="both"/>
        <w:rPr>
          <w:rFonts w:hint="eastAsia" w:ascii="宋体" w:hAnsi="宋体" w:eastAsia="宋体" w:cs="宋体"/>
          <w:b/>
          <w:bCs/>
          <w:sz w:val="24"/>
          <w:szCs w:val="24"/>
          <w:lang w:eastAsia="zh-CN"/>
        </w:rPr>
      </w:pPr>
    </w:p>
    <w:p>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八、注意事项</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pPr>
        <w:kinsoku/>
        <w:wordWrap w:val="0"/>
        <w:spacing w:line="360" w:lineRule="auto"/>
        <w:ind w:firstLine="480"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pPr>
        <w:kinsoku/>
        <w:wordWrap w:val="0"/>
        <w:spacing w:line="360" w:lineRule="auto"/>
        <w:rPr>
          <w:rFonts w:hint="eastAsia" w:asciiTheme="minorEastAsia" w:hAnsiTheme="minorEastAsia" w:eastAsiaTheme="minorEastAsia" w:cstheme="minorEastAsia"/>
          <w:b/>
          <w:bCs/>
          <w:spacing w:val="2"/>
          <w:position w:val="17"/>
          <w:sz w:val="32"/>
          <w:szCs w:val="32"/>
          <w:lang w:eastAsia="zh-CN"/>
        </w:rPr>
      </w:pPr>
    </w:p>
    <w:p>
      <w:pPr>
        <w:kinsoku/>
        <w:wordWrap w:val="0"/>
        <w:spacing w:line="360" w:lineRule="auto"/>
        <w:jc w:val="both"/>
        <w:rPr>
          <w:rFonts w:hint="eastAsia"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hint="eastAsia"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kinsoku/>
        <w:wordWrap w:val="0"/>
        <w:spacing w:line="360" w:lineRule="auto"/>
        <w:ind w:firstLine="430"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pPr>
        <w:kinsoku/>
        <w:wordWrap w:val="0"/>
        <w:spacing w:line="360" w:lineRule="auto"/>
        <w:ind w:firstLine="480" w:firstLineChars="200"/>
        <w:jc w:val="both"/>
        <w:rPr>
          <w:rFonts w:hint="eastAsia" w:ascii="宋体" w:hAnsi="宋体" w:eastAsia="宋体" w:cs="宋体"/>
          <w:sz w:val="24"/>
          <w:szCs w:val="24"/>
          <w:lang w:eastAsia="zh-CN"/>
        </w:rPr>
      </w:pPr>
    </w:p>
    <w:bookmarkEnd w:id="16"/>
    <w:p>
      <w:pPr>
        <w:kinsoku/>
        <w:wordWrap w:val="0"/>
        <w:spacing w:line="360" w:lineRule="auto"/>
        <w:ind w:firstLine="480" w:firstLineChars="200"/>
        <w:jc w:val="both"/>
        <w:rPr>
          <w:rFonts w:hint="eastAsia" w:ascii="宋体" w:hAnsi="宋体" w:eastAsia="宋体" w:cs="宋体"/>
          <w:sz w:val="24"/>
          <w:szCs w:val="24"/>
          <w:lang w:eastAsia="zh-CN"/>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lang w:eastAsia="zh-CN"/>
        </w:rPr>
      </w:pPr>
      <w:bookmarkStart w:id="17" w:name="_Hlk174565366"/>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p>
    <w:p>
      <w:pPr>
        <w:pStyle w:val="9"/>
        <w:kinsoku/>
        <w:wordWrap w:val="0"/>
        <w:spacing w:line="360" w:lineRule="auto"/>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4.政府采购合同（草案）4.政府采购合同设定预付款支付方式的，预付款支付比例原则上不低于合同金额的50%；对于中小企业，预付款支付比例原则上不低于合同金额的70%。</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pPr>
        <w:pStyle w:val="9"/>
        <w:kinsoku/>
        <w:wordWrap w:val="0"/>
        <w:spacing w:line="220" w:lineRule="auto"/>
        <w:ind w:left="9"/>
        <w:jc w:val="both"/>
        <w:rPr>
          <w:rFonts w:hint="eastAsia"/>
          <w:sz w:val="24"/>
          <w:szCs w:val="24"/>
          <w:lang w:eastAsia="zh-CN"/>
        </w:rPr>
      </w:pPr>
    </w:p>
    <w:p>
      <w:pPr>
        <w:kinsoku/>
        <w:wordWrap w:val="0"/>
        <w:spacing w:line="220" w:lineRule="auto"/>
        <w:jc w:val="both"/>
        <w:rPr>
          <w:sz w:val="24"/>
          <w:szCs w:val="24"/>
          <w:lang w:eastAsia="zh-CN"/>
        </w:rPr>
        <w:sectPr>
          <w:headerReference r:id="rId3" w:type="default"/>
          <w:footerReference r:id="rId4" w:type="default"/>
          <w:pgSz w:w="11907" w:h="16840"/>
          <w:pgMar w:top="1440" w:right="1800" w:bottom="1440" w:left="1800" w:header="878" w:footer="886" w:gutter="0"/>
          <w:pgNumType w:start="1"/>
          <w:cols w:space="720" w:num="1"/>
        </w:sectPr>
      </w:pPr>
    </w:p>
    <w:p>
      <w:pPr>
        <w:pStyle w:val="9"/>
        <w:kinsoku/>
        <w:wordWrap w:val="0"/>
        <w:spacing w:before="353" w:line="360" w:lineRule="auto"/>
        <w:ind w:left="2654"/>
        <w:jc w:val="both"/>
        <w:rPr>
          <w:rFonts w:hint="eastAsia" w:ascii="Arial"/>
          <w:sz w:val="21"/>
          <w:lang w:eastAsia="zh-CN"/>
        </w:rPr>
      </w:pPr>
      <w:r>
        <w:rPr>
          <w:spacing w:val="-5"/>
          <w:sz w:val="36"/>
          <w:szCs w:val="36"/>
          <w:lang w:eastAsia="zh-CN"/>
          <w14:textOutline w14:w="2311" w14:cap="flat" w14:cmpd="sng" w14:algn="ctr">
            <w14:solidFill>
              <w14:srgbClr w14:val="000000"/>
            </w14:solidFill>
            <w14:prstDash w14:val="solid"/>
            <w14:miter w14:val="0"/>
          </w14:textOutline>
        </w:rPr>
        <w:t>第六章</w:t>
      </w:r>
      <w:r>
        <w:rPr>
          <w:rFonts w:hint="eastAsia"/>
          <w:spacing w:val="-5"/>
          <w:sz w:val="36"/>
          <w:szCs w:val="36"/>
          <w:lang w:eastAsia="zh-CN"/>
          <w14:textOutline w14:w="2311" w14:cap="flat" w14:cmpd="sng" w14:algn="ctr">
            <w14:solidFill>
              <w14:srgbClr w14:val="000000"/>
            </w14:solidFill>
            <w14:prstDash w14:val="solid"/>
            <w14:miter w14:val="0"/>
          </w14:textOutline>
        </w:rPr>
        <w:t xml:space="preserve"> </w:t>
      </w:r>
      <w:r>
        <w:rPr>
          <w:spacing w:val="-5"/>
          <w:sz w:val="36"/>
          <w:szCs w:val="36"/>
          <w:lang w:eastAsia="zh-CN"/>
          <w14:textOutline w14:w="2311" w14:cap="flat" w14:cmpd="sng" w14:algn="ctr">
            <w14:solidFill>
              <w14:srgbClr w14:val="000000"/>
            </w14:solidFill>
            <w14:prstDash w14:val="solid"/>
            <w14:miter w14:val="0"/>
          </w14:textOutline>
        </w:rPr>
        <w:t>响应文件格式</w:t>
      </w:r>
    </w:p>
    <w:p>
      <w:pPr>
        <w:pStyle w:val="9"/>
        <w:kinsoku/>
        <w:wordWrap w:val="0"/>
        <w:spacing w:line="360" w:lineRule="auto"/>
        <w:jc w:val="both"/>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pPr>
        <w:pStyle w:val="9"/>
        <w:kinsoku/>
        <w:wordWrap w:val="0"/>
        <w:spacing w:line="360" w:lineRule="auto"/>
        <w:jc w:val="both"/>
        <w:rPr>
          <w:rFonts w:hint="eastAsia"/>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pPr>
        <w:kinsoku/>
        <w:wordWrap w:val="0"/>
        <w:spacing w:line="219" w:lineRule="auto"/>
        <w:jc w:val="both"/>
        <w:rPr>
          <w:sz w:val="24"/>
          <w:szCs w:val="24"/>
          <w:lang w:eastAsia="zh-CN"/>
        </w:rPr>
        <w:sectPr>
          <w:headerReference r:id="rId5" w:type="default"/>
          <w:footerReference r:id="rId6" w:type="default"/>
          <w:pgSz w:w="11907" w:h="16840"/>
          <w:pgMar w:top="1440" w:right="1800" w:bottom="1440" w:left="1800" w:header="878" w:footer="886" w:gutter="0"/>
          <w:cols w:space="720" w:num="1"/>
        </w:sect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一、响应函格式</w:t>
      </w: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响应函</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根据贵方项目编号为____________的竞争性磋商文件要求，签字代表_________（全名、职务）经正式授权并代表_________（供应商名称、地址）提交包含响应文件组成第1项至第</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项的响应文件电子版本一份。</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据此函，签字代表宣布同意并郑重承诺如下：</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1、我方递交的响应文件中所有的资料均为真实的、准确的，无任何虚假内容。若存在有虚假内容，我方愿意承担法律责任。</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2、我方已详细审查全部竞争性磋商文件，包括修改文件（如有的话）以及全部参考资料和有关附件。我们完全理解并同意放弃对这方面有不明白及误解的权利。</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lang w:eastAsia="zh-CN"/>
        </w:rPr>
        <w:t>《政府采购竞争性磋商采购方式管理暂行办法》</w:t>
      </w:r>
      <w:r>
        <w:rPr>
          <w:rFonts w:hint="eastAsia" w:asciiTheme="minorEastAsia" w:hAnsiTheme="minorEastAsia" w:eastAsiaTheme="minorEastAsia" w:cstheme="minorEastAsia"/>
          <w:spacing w:val="-3"/>
          <w:sz w:val="24"/>
          <w:szCs w:val="24"/>
          <w:lang w:eastAsia="zh-CN"/>
        </w:rPr>
        <w:t>及其他相关法律法规的规定，若有违反上述法律法规的行为，愿意接受处罚并承担相应的法律责任。</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5、本承诺将成为合同不可分割的一部分，与合同具有同等的法律效力。</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1170" w:firstLineChars="5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供应商名称（公章）：</w:t>
      </w:r>
    </w:p>
    <w:p>
      <w:pPr>
        <w:kinsoku/>
        <w:wordWrap w:val="0"/>
        <w:spacing w:line="360" w:lineRule="auto"/>
        <w:ind w:firstLine="1170" w:firstLineChars="5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法定代表人或负责人或被授权人签名（或盖章）：</w:t>
      </w:r>
    </w:p>
    <w:p>
      <w:pPr>
        <w:widowControl w:val="0"/>
        <w:kinsoku/>
        <w:wordWrap w:val="0"/>
        <w:spacing w:line="360" w:lineRule="auto"/>
        <w:ind w:firstLine="1200" w:firstLineChars="5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二、法定代表人或负责人授权委托书格式：</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法定代表人或负责人授权委托书</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702" w:firstLineChars="3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我_________（姓名）系_________（供应商名称）的法定代表人或负责人，现授权委托本单位在职职工（姓名）以我方的名义参加项目的竞争性磋商活动，并代表我方全权办理针对上述项目的具体事务和签署相关文件。我方对被授权人的签名事项负全部责任。</w:t>
      </w:r>
    </w:p>
    <w:p>
      <w:pPr>
        <w:kinsoku/>
        <w:wordWrap w:val="0"/>
        <w:spacing w:line="360" w:lineRule="auto"/>
        <w:ind w:firstLine="48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在撤销授权的书面通知以前，本授权书一直有效。被授权人在授权书有效期内签署的所有文件不因授权的撤销而失效。</w:t>
      </w:r>
    </w:p>
    <w:p>
      <w:pPr>
        <w:kinsoku/>
        <w:wordWrap w:val="0"/>
        <w:spacing w:line="360" w:lineRule="auto"/>
        <w:ind w:firstLine="48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被授权人无转委托权，特此委托。</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法定代表人或负责人签名（或盖章）：</w:t>
      </w: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被授权人签名（或盖章）：</w:t>
      </w: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职务：</w:t>
      </w:r>
    </w:p>
    <w:p>
      <w:pPr>
        <w:kinsoku/>
        <w:wordWrap w:val="0"/>
        <w:spacing w:line="360" w:lineRule="auto"/>
        <w:ind w:firstLine="2634" w:firstLineChars="1126"/>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联系电话：</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法定代表人或负责人、被授权人身份证复印件</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6786" w:firstLineChars="2900"/>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5382" w:firstLineChars="23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供应商公章：</w:t>
      </w:r>
    </w:p>
    <w:p>
      <w:pPr>
        <w:widowControl w:val="0"/>
        <w:kinsoku/>
        <w:wordWrap w:val="0"/>
        <w:spacing w:line="360" w:lineRule="auto"/>
        <w:ind w:firstLine="5280" w:firstLineChars="2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numPr>
          <w:ilvl w:val="0"/>
          <w:numId w:val="4"/>
        </w:num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rPr>
        <w:t>报价一览表格式：</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磋商报价</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供货期</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bl>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pPr>
        <w:widowControl w:val="0"/>
        <w:kinsoku/>
        <w:wordWrap w:val="0"/>
        <w:spacing w:line="360" w:lineRule="auto"/>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pPr>
        <w:numPr>
          <w:ilvl w:val="0"/>
          <w:numId w:val="4"/>
        </w:num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与银行之间业务往来正常，企业信誉良好等。</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提供企业有关财务会计制度。</w:t>
      </w: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numPr>
          <w:ilvl w:val="0"/>
          <w:numId w:val="4"/>
        </w:num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分项报价一览表、技术偏差表、商务偏差表、</w:t>
      </w:r>
      <w:bookmarkEnd w:id="17"/>
      <w:r>
        <w:rPr>
          <w:rFonts w:hint="eastAsia" w:asciiTheme="minorEastAsia" w:hAnsiTheme="minorEastAsia" w:eastAsiaTheme="minorEastAsia" w:cstheme="minorEastAsia"/>
          <w:b/>
          <w:bCs/>
          <w:spacing w:val="-3"/>
          <w:sz w:val="24"/>
          <w:szCs w:val="24"/>
          <w:lang w:eastAsia="zh-CN"/>
        </w:rPr>
        <w:t>项目实施及技术服务方案等；</w:t>
      </w:r>
    </w:p>
    <w:p>
      <w:pPr>
        <w:spacing w:line="360" w:lineRule="auto"/>
        <w:rPr>
          <w:rFonts w:hint="eastAsia" w:asciiTheme="minorEastAsia" w:hAnsiTheme="minorEastAsia" w:eastAsiaTheme="minorEastAsia" w:cstheme="minorEastAsia"/>
          <w:b/>
          <w:bCs/>
          <w:spacing w:val="-3"/>
          <w:sz w:val="24"/>
          <w:szCs w:val="24"/>
          <w:lang w:eastAsia="zh-CN"/>
        </w:rPr>
      </w:pPr>
      <w:r>
        <w:rPr>
          <w:rFonts w:hint="eastAsia" w:ascii="宋体" w:hAnsi="宋体" w:eastAsia="宋体"/>
          <w:color w:val="000000" w:themeColor="text1"/>
          <w:lang w:eastAsia="zh-CN"/>
          <w14:textFill>
            <w14:solidFill>
              <w14:schemeClr w14:val="tx1"/>
            </w14:solidFill>
          </w14:textFill>
        </w:rPr>
        <w:t>（包括但不限于以下格式或</w:t>
      </w:r>
      <w:r>
        <w:rPr>
          <w:rFonts w:ascii="宋体" w:hAnsi="宋体" w:eastAsia="宋体"/>
          <w:color w:val="000000" w:themeColor="text1"/>
          <w:lang w:eastAsia="zh-CN"/>
          <w14:textFill>
            <w14:solidFill>
              <w14:schemeClr w14:val="tx1"/>
            </w14:solidFill>
          </w14:textFill>
        </w:rPr>
        <w:t>内容</w:t>
      </w:r>
      <w:r>
        <w:rPr>
          <w:rFonts w:hint="eastAsia" w:ascii="宋体" w:hAnsi="宋体" w:eastAsia="宋体"/>
          <w:color w:val="000000" w:themeColor="text1"/>
          <w:lang w:eastAsia="zh-CN"/>
          <w14:textFill>
            <w14:solidFill>
              <w14:schemeClr w14:val="tx1"/>
            </w14:solidFill>
          </w14:textFill>
        </w:rPr>
        <w:t>）</w:t>
      </w:r>
    </w:p>
    <w:bookmarkEnd w:id="1"/>
    <w:p>
      <w:pPr>
        <w:kinsoku/>
        <w:wordWrap w:val="0"/>
        <w:jc w:val="both"/>
        <w:rPr>
          <w:rFonts w:hint="eastAsia" w:asciiTheme="minorEastAsia" w:hAnsiTheme="minorEastAsia" w:eastAsiaTheme="minorEastAsia" w:cstheme="minorEastAsia"/>
          <w:b/>
          <w:sz w:val="24"/>
          <w:szCs w:val="24"/>
          <w:lang w:eastAsia="zh-CN"/>
        </w:rPr>
        <w:sectPr>
          <w:headerReference r:id="rId11" w:type="default"/>
          <w:footerReference r:id="rId12" w:type="default"/>
          <w:pgSz w:w="11907" w:h="16840"/>
          <w:pgMar w:top="1440" w:right="1800" w:bottom="1440" w:left="1800" w:header="851" w:footer="992" w:gutter="0"/>
          <w:cols w:space="720" w:num="1"/>
          <w:docGrid w:linePitch="332" w:charSpace="0"/>
        </w:sectPr>
      </w:pPr>
    </w:p>
    <w:p>
      <w:pPr>
        <w:kinsoku/>
        <w:wordWrap w:val="0"/>
        <w:jc w:val="center"/>
        <w:rPr>
          <w:rFonts w:hint="eastAsia" w:asciiTheme="minorEastAsia" w:hAnsiTheme="minorEastAsia" w:eastAsiaTheme="minorEastAsia" w:cstheme="minorEastAsia"/>
          <w:b/>
          <w:sz w:val="28"/>
          <w:szCs w:val="28"/>
          <w:lang w:eastAsia="zh-CN"/>
        </w:rPr>
      </w:pPr>
      <w:bookmarkStart w:id="18" w:name="_Hlk174565647"/>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3"/>
        <w:tblpPr w:leftFromText="180" w:rightFromText="180" w:vertAnchor="text" w:horzAnchor="page" w:tblpX="1670" w:tblpY="348"/>
        <w:tblOverlap w:val="never"/>
        <w:tblW w:w="14574" w:type="dxa"/>
        <w:tblInd w:w="0" w:type="dxa"/>
        <w:tblLayout w:type="fixed"/>
        <w:tblCellMar>
          <w:top w:w="0" w:type="dxa"/>
          <w:left w:w="108" w:type="dxa"/>
          <w:bottom w:w="0" w:type="dxa"/>
          <w:right w:w="108" w:type="dxa"/>
        </w:tblCellMar>
      </w:tblPr>
      <w:tblGrid>
        <w:gridCol w:w="710"/>
        <w:gridCol w:w="283"/>
        <w:gridCol w:w="958"/>
        <w:gridCol w:w="1276"/>
        <w:gridCol w:w="2977"/>
        <w:gridCol w:w="1559"/>
        <w:gridCol w:w="850"/>
        <w:gridCol w:w="993"/>
        <w:gridCol w:w="993"/>
        <w:gridCol w:w="1275"/>
        <w:gridCol w:w="1418"/>
        <w:gridCol w:w="1282"/>
      </w:tblGrid>
      <w:tr>
        <w:tblPrEx>
          <w:tblCellMar>
            <w:top w:w="0" w:type="dxa"/>
            <w:left w:w="108" w:type="dxa"/>
            <w:bottom w:w="0" w:type="dxa"/>
            <w:right w:w="108" w:type="dxa"/>
          </w:tblCellMar>
        </w:tblPrEx>
        <w:trPr>
          <w:trHeight w:val="522" w:hRule="exact"/>
        </w:trPr>
        <w:tc>
          <w:tcPr>
            <w:tcW w:w="3227" w:type="dxa"/>
            <w:gridSpan w:val="4"/>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供应商名称（公章）：</w:t>
            </w:r>
          </w:p>
        </w:tc>
        <w:tc>
          <w:tcPr>
            <w:tcW w:w="4536" w:type="dxa"/>
            <w:gridSpan w:val="2"/>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pPr>
              <w:kinsoku/>
              <w:wordWrap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282" w:type="dxa"/>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p>
        </w:tc>
      </w:tr>
      <w:tr>
        <w:tblPrEx>
          <w:tblCellMar>
            <w:top w:w="0" w:type="dxa"/>
            <w:left w:w="108" w:type="dxa"/>
            <w:bottom w:w="0" w:type="dxa"/>
            <w:right w:w="108" w:type="dxa"/>
          </w:tblCellMar>
        </w:tblPrEx>
        <w:trPr>
          <w:trHeight w:val="688"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jc w:val="both"/>
              <w:rPr>
                <w:rFonts w:hint="eastAsia" w:asciiTheme="minorEastAsia" w:hAnsiTheme="minorEastAsia" w:eastAsiaTheme="minorEastAsia" w:cstheme="minorEastAsia"/>
                <w:lang w:eastAsia="zh-CN"/>
              </w:rPr>
            </w:pPr>
          </w:p>
        </w:tc>
        <w:tc>
          <w:tcPr>
            <w:tcW w:w="993"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282"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993" w:type="dxa"/>
            <w:gridSpan w:val="2"/>
            <w:tcBorders>
              <w:top w:val="single" w:color="auto" w:sz="4" w:space="0"/>
              <w:left w:val="single" w:color="auto" w:sz="4" w:space="0"/>
              <w:bottom w:val="single" w:color="auto" w:sz="4" w:space="0"/>
              <w:right w:val="single" w:color="auto" w:sz="4" w:space="0"/>
            </w:tcBorders>
          </w:tcPr>
          <w:p>
            <w:pPr>
              <w:kinsoku/>
              <w:wordWrap w:val="0"/>
              <w:spacing w:line="360" w:lineRule="auto"/>
              <w:jc w:val="both"/>
              <w:rPr>
                <w:rFonts w:hint="eastAsia" w:asciiTheme="minorEastAsia" w:hAnsiTheme="minorEastAsia" w:eastAsiaTheme="minorEastAsia" w:cstheme="minorEastAsia"/>
                <w:sz w:val="24"/>
                <w:szCs w:val="24"/>
                <w:lang w:eastAsia="zh-CN"/>
              </w:rPr>
            </w:pPr>
          </w:p>
        </w:tc>
        <w:tc>
          <w:tcPr>
            <w:tcW w:w="13581" w:type="dxa"/>
            <w:gridSpan w:val="10"/>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p>
    <w:bookmarkEnd w:id="18"/>
    <w:p>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pPr>
        <w:kinsoku/>
        <w:wordWrap w:val="0"/>
        <w:spacing w:line="240" w:lineRule="atLeast"/>
        <w:jc w:val="both"/>
        <w:rPr>
          <w:rFonts w:hint="eastAsia" w:asciiTheme="minorEastAsia" w:hAnsiTheme="minorEastAsia" w:eastAsiaTheme="minorEastAsia" w:cstheme="minorEastAsia"/>
          <w:b/>
          <w:bCs/>
          <w:sz w:val="24"/>
          <w:szCs w:val="24"/>
          <w:lang w:eastAsia="zh-CN"/>
        </w:rPr>
      </w:pPr>
    </w:p>
    <w:p>
      <w:pPr>
        <w:kinsoku/>
        <w:wordWrap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pPr>
        <w:kinsoku/>
        <w:wordWrap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采购规格</w:t>
            </w:r>
          </w:p>
        </w:tc>
        <w:tc>
          <w:tcPr>
            <w:tcW w:w="1337"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响应规格</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pPr>
        <w:kinsoku/>
        <w:wordWrap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供应商（公章）：法定代表人（负责人）或授权代表（签字）：</w:t>
      </w:r>
    </w:p>
    <w:p>
      <w:pPr>
        <w:widowControl w:val="0"/>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ind w:firstLine="482"/>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spacing w:line="240" w:lineRule="atLeas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商务偏差表</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采购文件</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bl>
    <w:p>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lang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pPr>
        <w:widowControl w:val="0"/>
        <w:kinsoku/>
        <w:wordWrap w:val="0"/>
        <w:spacing w:line="360" w:lineRule="auto"/>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六、供应商诚信承诺书</w:t>
      </w:r>
    </w:p>
    <w:p>
      <w:pPr>
        <w:kinsoku/>
        <w:wordWrap w:val="0"/>
        <w:spacing w:line="360" w:lineRule="auto"/>
        <w:jc w:val="both"/>
        <w:rPr>
          <w:rFonts w:hint="eastAsia" w:asciiTheme="minorEastAsia" w:hAnsiTheme="minorEastAsia" w:eastAsiaTheme="minorEastAsia" w:cstheme="minorEastAsia"/>
          <w:b/>
          <w:bCs/>
          <w:sz w:val="24"/>
          <w:szCs w:val="24"/>
          <w:lang w:eastAsia="zh-CN"/>
        </w:rPr>
      </w:pPr>
    </w:p>
    <w:p>
      <w:pPr>
        <w:pStyle w:val="9"/>
        <w:kinsoku/>
        <w:wordWrap w:val="0"/>
        <w:spacing w:line="360" w:lineRule="auto"/>
        <w:jc w:val="cente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诚信承诺书</w:t>
      </w:r>
    </w:p>
    <w:p>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1562" w:firstLineChars="65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pPr>
        <w:widowControl w:val="0"/>
        <w:kinsoku/>
        <w:wordWrap w:val="0"/>
        <w:spacing w:line="360" w:lineRule="auto"/>
        <w:ind w:firstLine="1568" w:firstLineChars="700"/>
        <w:jc w:val="both"/>
        <w:rPr>
          <w:rFonts w:hint="eastAsia"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spacing w:val="-3"/>
          <w:sz w:val="24"/>
          <w:szCs w:val="24"/>
          <w:lang w:eastAsia="zh-CN"/>
        </w:rPr>
        <w:t>七、供应商认为需要的其他文件资料</w:t>
      </w: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pPr>
        <w:pStyle w:val="9"/>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人，</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pPr>
        <w:pStyle w:val="9"/>
        <w:kinsoku/>
        <w:wordWrap w:val="0"/>
        <w:spacing w:line="360" w:lineRule="auto"/>
        <w:ind w:firstLine="51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4444" w:firstLineChars="2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4560" w:firstLineChars="19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ind w:firstLine="10080" w:firstLineChars="4200"/>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jc w:val="both"/>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pPr>
        <w:pStyle w:val="9"/>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pPr>
        <w:pStyle w:val="9"/>
        <w:kinsoku/>
        <w:wordWrap w:val="0"/>
        <w:spacing w:line="360" w:lineRule="auto"/>
        <w:ind w:firstLine="50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9"/>
        <w:kinsoku/>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pPr>
        <w:pStyle w:val="9"/>
        <w:kinsoku/>
        <w:wordWrap w:val="0"/>
        <w:spacing w:line="360" w:lineRule="auto"/>
        <w:ind w:firstLine="52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0" w:firstLineChars="25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pPr>
        <w:kinsoku/>
        <w:wordWrap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jc w:val="both"/>
        <w:rPr>
          <w:rFonts w:hint="eastAsia" w:asciiTheme="minorEastAsia" w:hAnsiTheme="minorEastAsia" w:eastAsiaTheme="minorEastAsia" w:cstheme="minorEastAsia"/>
          <w:spacing w:val="9"/>
          <w:position w:val="5"/>
          <w:sz w:val="24"/>
          <w:szCs w:val="24"/>
          <w:lang w:eastAsia="zh-CN"/>
        </w:rPr>
      </w:pP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9"/>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120" w:firstLineChars="20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pPr>
        <w:kinsoku/>
        <w:wordWrap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ind w:firstLine="6960" w:firstLineChars="2900"/>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ascii="宋体" w:hAnsi="宋体"/>
          <w:b/>
          <w:sz w:val="28"/>
          <w:szCs w:val="28"/>
          <w:lang w:eastAsia="zh-CN"/>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pPr>
        <w:kinsoku/>
        <w:wordWrap w:val="0"/>
        <w:spacing w:line="360" w:lineRule="auto"/>
        <w:jc w:val="both"/>
        <w:rPr>
          <w:rFonts w:ascii="宋体" w:hAnsi="宋体"/>
          <w:b/>
          <w:sz w:val="28"/>
          <w:szCs w:val="28"/>
          <w:lang w:eastAsia="zh-CN"/>
        </w:rPr>
      </w:pPr>
    </w:p>
    <w:p>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Theme="minorEastAsia" w:hAnsiTheme="minorEastAsia" w:eastAsiaTheme="minorEastAsia" w:cstheme="minorEastAsia"/>
          <w:lang w:eastAsia="zh-CN"/>
          <w14:textOutline w14:w="2311" w14:cap="flat" w14:cmpd="sng" w14:algn="ctr">
            <w14:solidFill>
              <w14:srgbClr w14:val="000000"/>
            </w14:solidFill>
            <w14:prstDash w14:val="solid"/>
            <w14:miter w14:val="0"/>
          </w14:textOutline>
        </w:rPr>
      </w:pPr>
    </w:p>
    <w:sectPr>
      <w:headerReference r:id="rId13" w:type="default"/>
      <w:footerReference r:id="rId14"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
    <w:altName w:val="Arial"/>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Arial Unicode MS">
    <w:altName w:val="HONOR Sans"/>
    <w:panose1 w:val="020B0604020202020204"/>
    <w:charset w:val="00"/>
    <w:family w:val="auto"/>
    <w:pitch w:val="default"/>
    <w:sig w:usb0="00000000" w:usb1="00000000" w:usb2="00000000" w:usb3="00000000" w:csb0="00000000" w:csb1="00000000"/>
  </w:font>
  <w:font w:name="HONOR Sans">
    <w:panose1 w:val="00000200000000000000"/>
    <w:charset w:val="86"/>
    <w:family w:val="auto"/>
    <w:pitch w:val="default"/>
    <w:sig w:usb0="E10006FF" w:usb1="D005207B" w:usb2="00010008" w:usb3="00000000" w:csb0="6004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116336"/>
    </w:sdtPr>
    <w:sdtContent>
      <w:p>
        <w:pPr>
          <w:pStyle w:val="15"/>
        </w:pPr>
        <w:r>
          <w:fldChar w:fldCharType="begin"/>
        </w:r>
        <w:r>
          <w:instrText xml:space="preserve">PAGE   \* MERGEFORMAT</w:instrText>
        </w:r>
        <w:r>
          <w:fldChar w:fldCharType="separate"/>
        </w:r>
        <w:r>
          <w:rPr>
            <w:lang w:val="zh-CN" w:eastAsia="zh-CN"/>
          </w:rPr>
          <w:t>2</w:t>
        </w:r>
        <w:r>
          <w:fldChar w:fldCharType="end"/>
        </w:r>
      </w:p>
    </w:sdtContent>
  </w:sdt>
  <w:p>
    <w:pPr>
      <w:spacing w:line="189" w:lineRule="auto"/>
      <w:ind w:left="4435"/>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XgrkC0CAABXBAAADgAAAGRycy9lMm9Eb2MueG1srVTNjtMw&#10;EL4j8Q6W7zRpEatS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vsSv1QAAAAgBAAAPAAAAAAAAAAEAIAAAACIAAABkcnMvZG93bnJldi54bWxQSwECFAAU&#10;AAAACACHTuJAGXgrkC0CAABXBAAADgAAAAAAAAABACAAAAAkAQAAZHJzL2Uyb0RvYy54bWxQSwUG&#10;AAAAAAYABgBZAQAAwwUAAAAA&#10;">
              <v:fill on="f" focussize="0,0"/>
              <v:stroke on="f" weight="0.5pt"/>
              <v:imagedata o:title=""/>
              <o:lock v:ext="edit" aspectratio="f"/>
              <v:textbox inset="0mm,0mm,0mm,0mm" style="mso-fit-shape-to-text:t;">
                <w:txbxContent>
                  <w:p>
                    <w:pPr>
                      <w:pStyle w:val="15"/>
                      <w:rPr>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67C6B"/>
    <w:multiLevelType w:val="singleLevel"/>
    <w:tmpl w:val="97267C6B"/>
    <w:lvl w:ilvl="0" w:tentative="0">
      <w:start w:val="1"/>
      <w:numFmt w:val="decimal"/>
      <w:suff w:val="nothing"/>
      <w:lvlText w:val="%1、"/>
      <w:lvlJc w:val="left"/>
    </w:lvl>
  </w:abstractNum>
  <w:abstractNum w:abstractNumId="1">
    <w:nsid w:val="9E6DCEF1"/>
    <w:multiLevelType w:val="singleLevel"/>
    <w:tmpl w:val="9E6DCEF1"/>
    <w:lvl w:ilvl="0" w:tentative="0">
      <w:start w:val="1"/>
      <w:numFmt w:val="chineseCounting"/>
      <w:suff w:val="space"/>
      <w:lvlText w:val="第%1章"/>
      <w:lvlJc w:val="left"/>
      <w:rPr>
        <w:rFonts w:hint="eastAsia"/>
      </w:rPr>
    </w:lvl>
  </w:abstractNum>
  <w:abstractNum w:abstractNumId="2">
    <w:nsid w:val="D9A2EE1E"/>
    <w:multiLevelType w:val="singleLevel"/>
    <w:tmpl w:val="D9A2EE1E"/>
    <w:lvl w:ilvl="0" w:tentative="0">
      <w:start w:val="2"/>
      <w:numFmt w:val="decimal"/>
      <w:lvlText w:val="%1."/>
      <w:lvlJc w:val="left"/>
      <w:pPr>
        <w:tabs>
          <w:tab w:val="left" w:pos="312"/>
        </w:tabs>
      </w:pPr>
    </w:lvl>
  </w:abstractNum>
  <w:abstractNum w:abstractNumId="3">
    <w:nsid w:val="6643FA8D"/>
    <w:multiLevelType w:val="singleLevel"/>
    <w:tmpl w:val="6643FA8D"/>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3M2Y5NzIzMDFlZjAyY2Q4Njk5ODkyYjFjNzBiNTQifQ=="/>
  </w:docVars>
  <w:rsids>
    <w:rsidRoot w:val="00DF0CD8"/>
    <w:rsid w:val="00004EAF"/>
    <w:rsid w:val="00390BD3"/>
    <w:rsid w:val="00407378"/>
    <w:rsid w:val="0045646E"/>
    <w:rsid w:val="00460D50"/>
    <w:rsid w:val="005817E6"/>
    <w:rsid w:val="006179B1"/>
    <w:rsid w:val="006C3C49"/>
    <w:rsid w:val="007900DA"/>
    <w:rsid w:val="007C0BFE"/>
    <w:rsid w:val="007E61E6"/>
    <w:rsid w:val="007E7A08"/>
    <w:rsid w:val="007F7CD2"/>
    <w:rsid w:val="0092013A"/>
    <w:rsid w:val="00967A43"/>
    <w:rsid w:val="00A72878"/>
    <w:rsid w:val="00B374C0"/>
    <w:rsid w:val="00BC65D5"/>
    <w:rsid w:val="00C87505"/>
    <w:rsid w:val="00DF0CD8"/>
    <w:rsid w:val="00F710CA"/>
    <w:rsid w:val="00F7351C"/>
    <w:rsid w:val="02980B47"/>
    <w:rsid w:val="0304627B"/>
    <w:rsid w:val="03F005BF"/>
    <w:rsid w:val="044C330C"/>
    <w:rsid w:val="049308F0"/>
    <w:rsid w:val="05C82C12"/>
    <w:rsid w:val="064B2778"/>
    <w:rsid w:val="06731CDB"/>
    <w:rsid w:val="06BD7DF4"/>
    <w:rsid w:val="08743EB7"/>
    <w:rsid w:val="08896F10"/>
    <w:rsid w:val="08DF64FD"/>
    <w:rsid w:val="095962AF"/>
    <w:rsid w:val="09A960A9"/>
    <w:rsid w:val="0A2175C7"/>
    <w:rsid w:val="0A4E3858"/>
    <w:rsid w:val="0A530F50"/>
    <w:rsid w:val="0ADC6029"/>
    <w:rsid w:val="0C272EF4"/>
    <w:rsid w:val="0C450913"/>
    <w:rsid w:val="0CF167FE"/>
    <w:rsid w:val="0E3E7CBD"/>
    <w:rsid w:val="0EE83C0B"/>
    <w:rsid w:val="0F130CAE"/>
    <w:rsid w:val="0FF95996"/>
    <w:rsid w:val="0FFF7484"/>
    <w:rsid w:val="103E1E24"/>
    <w:rsid w:val="10832DEB"/>
    <w:rsid w:val="11E54B27"/>
    <w:rsid w:val="11F10D0E"/>
    <w:rsid w:val="13504EE3"/>
    <w:rsid w:val="13D318D3"/>
    <w:rsid w:val="14184102"/>
    <w:rsid w:val="142A46A5"/>
    <w:rsid w:val="146A4EE4"/>
    <w:rsid w:val="147A2410"/>
    <w:rsid w:val="14B05372"/>
    <w:rsid w:val="156F62EF"/>
    <w:rsid w:val="15C27640"/>
    <w:rsid w:val="164E1E13"/>
    <w:rsid w:val="16655340"/>
    <w:rsid w:val="16882EF5"/>
    <w:rsid w:val="16FD3ABE"/>
    <w:rsid w:val="172F0E42"/>
    <w:rsid w:val="196A0814"/>
    <w:rsid w:val="19A83FEC"/>
    <w:rsid w:val="1B7E3953"/>
    <w:rsid w:val="1BFF6021"/>
    <w:rsid w:val="1C587110"/>
    <w:rsid w:val="1CC05665"/>
    <w:rsid w:val="1D7F2147"/>
    <w:rsid w:val="1D996CC8"/>
    <w:rsid w:val="1DA01659"/>
    <w:rsid w:val="1DF43E46"/>
    <w:rsid w:val="1E6454A8"/>
    <w:rsid w:val="1FCD677B"/>
    <w:rsid w:val="1FCF1E87"/>
    <w:rsid w:val="208E4164"/>
    <w:rsid w:val="21A07893"/>
    <w:rsid w:val="23554AEF"/>
    <w:rsid w:val="23645F64"/>
    <w:rsid w:val="23F5677C"/>
    <w:rsid w:val="23FB5E39"/>
    <w:rsid w:val="244A2A1D"/>
    <w:rsid w:val="2564491D"/>
    <w:rsid w:val="25B83A87"/>
    <w:rsid w:val="266463E7"/>
    <w:rsid w:val="26E9311B"/>
    <w:rsid w:val="277B168E"/>
    <w:rsid w:val="28032F0B"/>
    <w:rsid w:val="2A3D0E7D"/>
    <w:rsid w:val="2A924A38"/>
    <w:rsid w:val="2AE32E31"/>
    <w:rsid w:val="2CD208B5"/>
    <w:rsid w:val="2E6C7ED8"/>
    <w:rsid w:val="2EA57FA1"/>
    <w:rsid w:val="2EF243BC"/>
    <w:rsid w:val="30EF0857"/>
    <w:rsid w:val="3140197F"/>
    <w:rsid w:val="31E05F1C"/>
    <w:rsid w:val="320C16C0"/>
    <w:rsid w:val="32672625"/>
    <w:rsid w:val="32831B16"/>
    <w:rsid w:val="32F6583E"/>
    <w:rsid w:val="333A48FA"/>
    <w:rsid w:val="334A1323"/>
    <w:rsid w:val="33D92F7A"/>
    <w:rsid w:val="343B4BAB"/>
    <w:rsid w:val="34824347"/>
    <w:rsid w:val="34B2130C"/>
    <w:rsid w:val="350E12EA"/>
    <w:rsid w:val="354173ED"/>
    <w:rsid w:val="35992C99"/>
    <w:rsid w:val="360F3354"/>
    <w:rsid w:val="37BD0585"/>
    <w:rsid w:val="37CA6352"/>
    <w:rsid w:val="38533A18"/>
    <w:rsid w:val="396226AE"/>
    <w:rsid w:val="3AB900AC"/>
    <w:rsid w:val="3B223EA3"/>
    <w:rsid w:val="3BAF7174"/>
    <w:rsid w:val="3D660BE0"/>
    <w:rsid w:val="3DC47494"/>
    <w:rsid w:val="3EB41E07"/>
    <w:rsid w:val="41F66AB4"/>
    <w:rsid w:val="4269758A"/>
    <w:rsid w:val="43D372D6"/>
    <w:rsid w:val="44B74AB0"/>
    <w:rsid w:val="44C27AD5"/>
    <w:rsid w:val="45300AE7"/>
    <w:rsid w:val="463F4C16"/>
    <w:rsid w:val="46832AB5"/>
    <w:rsid w:val="46942B8F"/>
    <w:rsid w:val="48956DF4"/>
    <w:rsid w:val="498A3D49"/>
    <w:rsid w:val="49992FAB"/>
    <w:rsid w:val="4BBB7B8C"/>
    <w:rsid w:val="4CB97E79"/>
    <w:rsid w:val="4CBA2C7D"/>
    <w:rsid w:val="4CFD651E"/>
    <w:rsid w:val="4E5C03B2"/>
    <w:rsid w:val="4F53436C"/>
    <w:rsid w:val="4F867D89"/>
    <w:rsid w:val="4FA36E2B"/>
    <w:rsid w:val="4FF44B94"/>
    <w:rsid w:val="50CD1D3A"/>
    <w:rsid w:val="50DF62FA"/>
    <w:rsid w:val="51474CD4"/>
    <w:rsid w:val="51E16CC2"/>
    <w:rsid w:val="538452A3"/>
    <w:rsid w:val="53D00CD5"/>
    <w:rsid w:val="554355EF"/>
    <w:rsid w:val="554A067A"/>
    <w:rsid w:val="562B2D19"/>
    <w:rsid w:val="566F2249"/>
    <w:rsid w:val="56F130AE"/>
    <w:rsid w:val="571C70F4"/>
    <w:rsid w:val="578C1E3F"/>
    <w:rsid w:val="58122B18"/>
    <w:rsid w:val="582157B7"/>
    <w:rsid w:val="583737A8"/>
    <w:rsid w:val="595B0D84"/>
    <w:rsid w:val="59791FCF"/>
    <w:rsid w:val="59C70462"/>
    <w:rsid w:val="5A9F3CAF"/>
    <w:rsid w:val="5B314502"/>
    <w:rsid w:val="5B942EAB"/>
    <w:rsid w:val="5BFB1656"/>
    <w:rsid w:val="5C805C3A"/>
    <w:rsid w:val="5CED210B"/>
    <w:rsid w:val="5DD33159"/>
    <w:rsid w:val="5E401EE1"/>
    <w:rsid w:val="5E862024"/>
    <w:rsid w:val="5FE54AEF"/>
    <w:rsid w:val="5FE62E42"/>
    <w:rsid w:val="604F0C94"/>
    <w:rsid w:val="60811390"/>
    <w:rsid w:val="60E905BC"/>
    <w:rsid w:val="611C486A"/>
    <w:rsid w:val="612C3317"/>
    <w:rsid w:val="613320B7"/>
    <w:rsid w:val="64596BA4"/>
    <w:rsid w:val="64B4350F"/>
    <w:rsid w:val="64C17C5F"/>
    <w:rsid w:val="64E32222"/>
    <w:rsid w:val="660C0310"/>
    <w:rsid w:val="674A54CB"/>
    <w:rsid w:val="68187662"/>
    <w:rsid w:val="68740EAF"/>
    <w:rsid w:val="691A37DC"/>
    <w:rsid w:val="695F7E2D"/>
    <w:rsid w:val="6A443604"/>
    <w:rsid w:val="6AA22005"/>
    <w:rsid w:val="6ACC2E0B"/>
    <w:rsid w:val="6B6B37C9"/>
    <w:rsid w:val="6B9F656F"/>
    <w:rsid w:val="6DA528C6"/>
    <w:rsid w:val="6DAF0580"/>
    <w:rsid w:val="6DD02520"/>
    <w:rsid w:val="6DE17F47"/>
    <w:rsid w:val="6E1128F7"/>
    <w:rsid w:val="6E6B7F83"/>
    <w:rsid w:val="6EE2110B"/>
    <w:rsid w:val="70411D13"/>
    <w:rsid w:val="70DD756D"/>
    <w:rsid w:val="718B602C"/>
    <w:rsid w:val="7222612A"/>
    <w:rsid w:val="727D45B0"/>
    <w:rsid w:val="727F5D14"/>
    <w:rsid w:val="74143D3D"/>
    <w:rsid w:val="7571756C"/>
    <w:rsid w:val="76102BC1"/>
    <w:rsid w:val="76337044"/>
    <w:rsid w:val="768D73E4"/>
    <w:rsid w:val="778B45A3"/>
    <w:rsid w:val="77AC443F"/>
    <w:rsid w:val="786749F3"/>
    <w:rsid w:val="78F607B2"/>
    <w:rsid w:val="79924211"/>
    <w:rsid w:val="79A15AC2"/>
    <w:rsid w:val="79BD77DF"/>
    <w:rsid w:val="79D91008"/>
    <w:rsid w:val="7BC65611"/>
    <w:rsid w:val="7C2C76E7"/>
    <w:rsid w:val="7DAB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43"/>
    <w:qFormat/>
    <w:uiPriority w:val="1"/>
    <w:pPr>
      <w:widowControl w:val="0"/>
      <w:kinsoku/>
      <w:autoSpaceDE/>
      <w:autoSpaceDN/>
      <w:adjustRightInd/>
      <w:snapToGrid/>
      <w:ind w:left="1197" w:right="1454"/>
      <w:jc w:val="center"/>
      <w:textAlignment w:val="auto"/>
      <w:outlineLvl w:val="0"/>
    </w:pPr>
    <w:rPr>
      <w:rFonts w:ascii="Microsoft JhengHei" w:hAnsi="Microsoft JhengHei" w:eastAsia="Microsoft JhengHei" w:cs="Microsoft JhengHei"/>
      <w:b/>
      <w:bCs/>
      <w:snapToGrid/>
      <w:color w:val="auto"/>
      <w:kern w:val="2"/>
      <w:sz w:val="32"/>
      <w:szCs w:val="32"/>
      <w:lang w:val="zh-CN" w:eastAsia="zh-CN" w:bidi="zh-CN"/>
    </w:rPr>
  </w:style>
  <w:style w:type="paragraph" w:styleId="3">
    <w:name w:val="heading 2"/>
    <w:basedOn w:val="1"/>
    <w:next w:val="1"/>
    <w:link w:val="44"/>
    <w:qFormat/>
    <w:uiPriority w:val="0"/>
    <w:pPr>
      <w:keepNext/>
      <w:keepLines/>
      <w:widowControl w:val="0"/>
      <w:kinsoku/>
      <w:autoSpaceDE/>
      <w:autoSpaceDN/>
      <w:adjustRightInd/>
      <w:snapToGrid/>
      <w:spacing w:before="260" w:after="260" w:line="413" w:lineRule="auto"/>
      <w:jc w:val="both"/>
      <w:textAlignment w:val="auto"/>
      <w:outlineLvl w:val="1"/>
    </w:pPr>
    <w:rPr>
      <w:rFonts w:eastAsia="黑体" w:cs="Times New Roman"/>
      <w:b/>
      <w:snapToGrid/>
      <w:color w:val="auto"/>
      <w:kern w:val="2"/>
      <w:sz w:val="32"/>
      <w:szCs w:val="20"/>
      <w:lang w:eastAsia="zh-CN"/>
    </w:rPr>
  </w:style>
  <w:style w:type="paragraph" w:styleId="4">
    <w:name w:val="heading 3"/>
    <w:basedOn w:val="1"/>
    <w:next w:val="1"/>
    <w:link w:val="45"/>
    <w:qFormat/>
    <w:uiPriority w:val="0"/>
    <w:pPr>
      <w:keepNext/>
      <w:keepLines/>
      <w:widowControl w:val="0"/>
      <w:kinsoku/>
      <w:autoSpaceDE/>
      <w:autoSpaceDN/>
      <w:adjustRightInd/>
      <w:snapToGrid/>
      <w:spacing w:line="416" w:lineRule="auto"/>
      <w:jc w:val="both"/>
      <w:textAlignment w:val="auto"/>
      <w:outlineLvl w:val="2"/>
    </w:pPr>
    <w:rPr>
      <w:rFonts w:ascii="Calibri" w:hAnsi="Calibri" w:eastAsia="宋体" w:cs="Times New Roman"/>
      <w:b/>
      <w:bCs/>
      <w:snapToGrid/>
      <w:color w:val="auto"/>
      <w:kern w:val="2"/>
      <w:sz w:val="24"/>
      <w:szCs w:val="32"/>
      <w:lang w:eastAsia="zh-CN"/>
    </w:rPr>
  </w:style>
  <w:style w:type="paragraph" w:styleId="5">
    <w:name w:val="heading 4"/>
    <w:basedOn w:val="1"/>
    <w:next w:val="1"/>
    <w:link w:val="46"/>
    <w:qFormat/>
    <w:uiPriority w:val="0"/>
    <w:pPr>
      <w:keepNext/>
      <w:keepLines/>
      <w:widowControl w:val="0"/>
      <w:kinsoku/>
      <w:autoSpaceDE/>
      <w:autoSpaceDN/>
      <w:adjustRightInd/>
      <w:snapToGrid/>
      <w:spacing w:line="376" w:lineRule="auto"/>
      <w:jc w:val="both"/>
      <w:textAlignment w:val="auto"/>
      <w:outlineLvl w:val="3"/>
    </w:pPr>
    <w:rPr>
      <w:rFonts w:ascii="Cambria" w:hAnsi="Cambria" w:eastAsia="宋体" w:cs="Times New Roman"/>
      <w:b/>
      <w:bCs/>
      <w:snapToGrid/>
      <w:color w:val="auto"/>
      <w:kern w:val="2"/>
      <w:sz w:val="24"/>
      <w:szCs w:val="28"/>
      <w:lang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kinsoku/>
      <w:autoSpaceDE/>
      <w:autoSpaceDN/>
      <w:adjustRightInd/>
      <w:snapToGrid/>
      <w:ind w:left="420" w:leftChars="200"/>
      <w:jc w:val="both"/>
      <w:textAlignment w:val="auto"/>
    </w:pPr>
    <w:rPr>
      <w:rFonts w:ascii="Calibri" w:hAnsi="Calibri" w:eastAsia="宋体" w:cs="Times New Roman"/>
      <w:snapToGrid/>
      <w:color w:val="auto"/>
      <w:kern w:val="2"/>
      <w:szCs w:val="22"/>
      <w:lang w:eastAsia="zh-CN"/>
    </w:rPr>
  </w:style>
  <w:style w:type="paragraph" w:styleId="7">
    <w:name w:val="Normal Indent"/>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2"/>
      <w:lang w:eastAsia="zh-CN"/>
    </w:rPr>
  </w:style>
  <w:style w:type="paragraph" w:styleId="8">
    <w:name w:val="annotation text"/>
    <w:basedOn w:val="1"/>
    <w:link w:val="67"/>
    <w:qFormat/>
    <w:uiPriority w:val="0"/>
  </w:style>
  <w:style w:type="paragraph" w:styleId="9">
    <w:name w:val="Body Text"/>
    <w:basedOn w:val="1"/>
    <w:next w:val="10"/>
    <w:link w:val="40"/>
    <w:qFormat/>
    <w:uiPriority w:val="0"/>
    <w:rPr>
      <w:rFonts w:ascii="宋体" w:hAnsi="宋体" w:eastAsia="宋体" w:cs="宋体"/>
      <w:sz w:val="31"/>
      <w:szCs w:val="31"/>
    </w:rPr>
  </w:style>
  <w:style w:type="paragraph" w:customStyle="1" w:styleId="10">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11">
    <w:name w:val="Body Text Indent"/>
    <w:basedOn w:val="1"/>
    <w:next w:val="1"/>
    <w:qFormat/>
    <w:uiPriority w:val="0"/>
    <w:pPr>
      <w:tabs>
        <w:tab w:val="left" w:pos="0"/>
      </w:tabs>
      <w:ind w:firstLine="538" w:firstLineChars="192"/>
    </w:pPr>
    <w:rPr>
      <w:rFonts w:ascii="Tahoma" w:hAnsi="Tahoma"/>
      <w:kern w:val="2"/>
      <w:sz w:val="28"/>
      <w:szCs w:val="24"/>
    </w:rPr>
  </w:style>
  <w:style w:type="paragraph" w:styleId="12">
    <w:name w:val="Plain Text"/>
    <w:basedOn w:val="1"/>
    <w:link w:val="47"/>
    <w:qFormat/>
    <w:uiPriority w:val="0"/>
    <w:pPr>
      <w:widowControl w:val="0"/>
      <w:kinsoku/>
      <w:autoSpaceDE/>
      <w:autoSpaceDN/>
      <w:adjustRightInd/>
      <w:snapToGrid/>
      <w:jc w:val="both"/>
      <w:textAlignment w:val="auto"/>
    </w:pPr>
    <w:rPr>
      <w:rFonts w:ascii="宋体" w:hAnsi="Calibri" w:eastAsia="宋体" w:cs="Times New Roman"/>
      <w:snapToGrid/>
      <w:color w:val="auto"/>
      <w:kern w:val="2"/>
      <w:lang w:eastAsia="zh-CN"/>
    </w:rPr>
  </w:style>
  <w:style w:type="paragraph" w:styleId="13">
    <w:name w:val="Body Text Indent 2"/>
    <w:basedOn w:val="1"/>
    <w:link w:val="48"/>
    <w:qFormat/>
    <w:uiPriority w:val="0"/>
    <w:pPr>
      <w:widowControl w:val="0"/>
      <w:kinsoku/>
      <w:autoSpaceDE/>
      <w:autoSpaceDN/>
      <w:adjustRightInd/>
      <w:snapToGrid/>
      <w:ind w:firstLine="630"/>
      <w:jc w:val="both"/>
      <w:textAlignment w:val="auto"/>
    </w:pPr>
    <w:rPr>
      <w:rFonts w:ascii="Ari" w:hAnsi="Calibri" w:eastAsia="宋体" w:cs="Times New Roman"/>
      <w:snapToGrid/>
      <w:color w:val="auto"/>
      <w:kern w:val="2"/>
      <w:sz w:val="32"/>
      <w:szCs w:val="20"/>
      <w:lang w:eastAsia="zh-CN"/>
    </w:rPr>
  </w:style>
  <w:style w:type="paragraph" w:styleId="14">
    <w:name w:val="Balloon Text"/>
    <w:basedOn w:val="1"/>
    <w:link w:val="49"/>
    <w:qFormat/>
    <w:uiPriority w:val="0"/>
    <w:pPr>
      <w:widowControl w:val="0"/>
      <w:kinsoku/>
      <w:autoSpaceDE/>
      <w:autoSpaceDN/>
      <w:adjustRightInd/>
      <w:snapToGrid/>
      <w:jc w:val="both"/>
      <w:textAlignment w:val="auto"/>
    </w:pPr>
    <w:rPr>
      <w:rFonts w:ascii="Calibri" w:hAnsi="Calibri" w:eastAsia="宋体" w:cs="Times New Roman"/>
      <w:snapToGrid/>
      <w:color w:val="auto"/>
      <w:kern w:val="2"/>
      <w:sz w:val="18"/>
      <w:szCs w:val="18"/>
      <w:lang w:eastAsia="zh-CN"/>
    </w:rPr>
  </w:style>
  <w:style w:type="paragraph" w:styleId="15">
    <w:name w:val="footer"/>
    <w:basedOn w:val="1"/>
    <w:link w:val="65"/>
    <w:qFormat/>
    <w:uiPriority w:val="99"/>
    <w:pPr>
      <w:tabs>
        <w:tab w:val="center" w:pos="4153"/>
        <w:tab w:val="right" w:pos="8306"/>
      </w:tabs>
      <w:jc w:val="center"/>
    </w:pPr>
    <w:rPr>
      <w:rFonts w:ascii="Tahoma" w:hAnsi="Tahoma"/>
      <w:kern w:val="2"/>
      <w:sz w:val="18"/>
      <w:szCs w:val="18"/>
    </w:rPr>
  </w:style>
  <w:style w:type="paragraph" w:styleId="16">
    <w:name w:val="header"/>
    <w:basedOn w:val="1"/>
    <w:link w:val="66"/>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7">
    <w:name w:val="toc 1"/>
    <w:basedOn w:val="1"/>
    <w:next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styleId="18">
    <w:name w:val="Body Text 2"/>
    <w:basedOn w:val="1"/>
    <w:link w:val="42"/>
    <w:qFormat/>
    <w:uiPriority w:val="0"/>
    <w:pPr>
      <w:widowControl w:val="0"/>
      <w:kinsoku/>
      <w:autoSpaceDE/>
      <w:autoSpaceDN/>
      <w:adjustRightInd/>
      <w:snapToGrid/>
      <w:spacing w:after="120" w:line="480" w:lineRule="auto"/>
      <w:jc w:val="both"/>
      <w:textAlignment w:val="auto"/>
    </w:pPr>
    <w:rPr>
      <w:rFonts w:ascii="Calibri" w:hAnsi="Calibri" w:eastAsia="宋体" w:cs="Times New Roman"/>
      <w:snapToGrid/>
      <w:color w:val="auto"/>
      <w:kern w:val="2"/>
      <w:szCs w:val="22"/>
      <w:lang w:eastAsia="zh-CN"/>
    </w:rPr>
  </w:style>
  <w:style w:type="paragraph" w:styleId="19">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0">
    <w:name w:val="Normal (Web)"/>
    <w:basedOn w:val="1"/>
    <w:qFormat/>
    <w:uiPriority w:val="0"/>
    <w:pPr>
      <w:kinsoku/>
      <w:autoSpaceDE/>
      <w:autoSpaceDN/>
      <w:adjustRightInd/>
      <w:snapToGrid/>
      <w:spacing w:before="100" w:beforeAutospacing="1" w:after="100" w:afterAutospacing="1" w:line="320" w:lineRule="atLeast"/>
      <w:textAlignment w:val="auto"/>
    </w:pPr>
    <w:rPr>
      <w:rFonts w:ascii="宋体" w:hAnsi="宋体" w:eastAsia="宋体" w:cs="Times New Roman"/>
      <w:snapToGrid/>
      <w:color w:val="auto"/>
      <w:sz w:val="18"/>
      <w:szCs w:val="18"/>
      <w:lang w:eastAsia="zh-CN"/>
    </w:rPr>
  </w:style>
  <w:style w:type="paragraph" w:styleId="21">
    <w:name w:val="Body Text First Indent"/>
    <w:basedOn w:val="9"/>
    <w:link w:val="41"/>
    <w:qFormat/>
    <w:uiPriority w:val="0"/>
    <w:pPr>
      <w:spacing w:after="120"/>
      <w:ind w:firstLine="420" w:firstLineChars="100"/>
    </w:pPr>
    <w:rPr>
      <w:rFonts w:ascii="Arial" w:hAnsi="Arial" w:eastAsia="Arial" w:cs="Arial"/>
      <w:sz w:val="21"/>
      <w:szCs w:val="21"/>
    </w:rPr>
  </w:style>
  <w:style w:type="paragraph" w:styleId="22">
    <w:name w:val="Body Text First Indent 2"/>
    <w:basedOn w:val="11"/>
    <w:next w:val="1"/>
    <w:unhideWhenUsed/>
    <w:qFormat/>
    <w:uiPriority w:val="0"/>
    <w:pPr>
      <w:spacing w:after="120"/>
      <w:ind w:left="420" w:leftChars="200" w:firstLine="420" w:firstLineChars="200"/>
    </w:pPr>
    <w:rPr>
      <w:rFonts w:ascii="宋体" w:hAnsi="Courier New"/>
      <w:spacing w:val="-4"/>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qFormat/>
    <w:uiPriority w:val="0"/>
    <w:rPr>
      <w:color w:val="444444"/>
      <w:sz w:val="21"/>
      <w:szCs w:val="21"/>
      <w:u w:val="none"/>
    </w:rPr>
  </w:style>
  <w:style w:type="character" w:styleId="28">
    <w:name w:val="HTML Definition"/>
    <w:basedOn w:val="25"/>
    <w:qFormat/>
    <w:uiPriority w:val="0"/>
  </w:style>
  <w:style w:type="character" w:styleId="29">
    <w:name w:val="HTML Typewriter"/>
    <w:basedOn w:val="25"/>
    <w:qFormat/>
    <w:uiPriority w:val="0"/>
    <w:rPr>
      <w:rFonts w:hint="default" w:ascii="monospace" w:hAnsi="monospace" w:eastAsia="monospace" w:cs="monospace"/>
      <w:sz w:val="20"/>
    </w:rPr>
  </w:style>
  <w:style w:type="character" w:styleId="30">
    <w:name w:val="HTML Acronym"/>
    <w:basedOn w:val="25"/>
    <w:qFormat/>
    <w:uiPriority w:val="0"/>
  </w:style>
  <w:style w:type="character" w:styleId="31">
    <w:name w:val="HTML Variable"/>
    <w:basedOn w:val="25"/>
    <w:qFormat/>
    <w:uiPriority w:val="0"/>
  </w:style>
  <w:style w:type="character" w:styleId="32">
    <w:name w:val="Hyperlink"/>
    <w:basedOn w:val="25"/>
    <w:qFormat/>
    <w:uiPriority w:val="0"/>
    <w:rPr>
      <w:color w:val="444444"/>
      <w:sz w:val="21"/>
      <w:szCs w:val="21"/>
      <w:u w:val="none"/>
    </w:rPr>
  </w:style>
  <w:style w:type="character" w:styleId="33">
    <w:name w:val="HTML Code"/>
    <w:basedOn w:val="25"/>
    <w:qFormat/>
    <w:uiPriority w:val="0"/>
    <w:rPr>
      <w:rFonts w:hint="default" w:ascii="monospace" w:hAnsi="monospace" w:eastAsia="monospace" w:cs="monospace"/>
      <w:sz w:val="20"/>
    </w:rPr>
  </w:style>
  <w:style w:type="character" w:styleId="34">
    <w:name w:val="HTML Cite"/>
    <w:basedOn w:val="25"/>
    <w:qFormat/>
    <w:uiPriority w:val="0"/>
  </w:style>
  <w:style w:type="character" w:styleId="35">
    <w:name w:val="HTML Keyboard"/>
    <w:basedOn w:val="25"/>
    <w:qFormat/>
    <w:uiPriority w:val="0"/>
    <w:rPr>
      <w:rFonts w:ascii="monospace" w:hAnsi="monospace" w:eastAsia="monospace" w:cs="monospace"/>
      <w:sz w:val="20"/>
    </w:rPr>
  </w:style>
  <w:style w:type="character" w:styleId="36">
    <w:name w:val="HTML Sample"/>
    <w:basedOn w:val="25"/>
    <w:qFormat/>
    <w:uiPriority w:val="0"/>
    <w:rPr>
      <w:rFonts w:hint="default" w:ascii="monospace" w:hAnsi="monospace" w:eastAsia="monospace" w:cs="monospace"/>
    </w:rPr>
  </w:style>
  <w:style w:type="paragraph" w:customStyle="1" w:styleId="37">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style>
  <w:style w:type="character" w:customStyle="1" w:styleId="40">
    <w:name w:val="正文文本 字符"/>
    <w:basedOn w:val="25"/>
    <w:link w:val="9"/>
    <w:qFormat/>
    <w:uiPriority w:val="0"/>
    <w:rPr>
      <w:rFonts w:ascii="宋体" w:hAnsi="宋体" w:cs="宋体"/>
      <w:snapToGrid w:val="0"/>
      <w:color w:val="000000"/>
      <w:sz w:val="31"/>
      <w:szCs w:val="31"/>
      <w:lang w:eastAsia="en-US"/>
    </w:rPr>
  </w:style>
  <w:style w:type="character" w:customStyle="1" w:styleId="41">
    <w:name w:val="正文文本首行缩进 字符"/>
    <w:basedOn w:val="40"/>
    <w:link w:val="21"/>
    <w:qFormat/>
    <w:uiPriority w:val="0"/>
    <w:rPr>
      <w:rFonts w:ascii="Arial" w:hAnsi="Arial" w:eastAsia="Arial" w:cs="Arial"/>
      <w:snapToGrid w:val="0"/>
      <w:color w:val="000000"/>
      <w:sz w:val="21"/>
      <w:szCs w:val="21"/>
      <w:lang w:eastAsia="en-US"/>
    </w:rPr>
  </w:style>
  <w:style w:type="character" w:customStyle="1" w:styleId="42">
    <w:name w:val="正文文本 2 字符"/>
    <w:basedOn w:val="25"/>
    <w:link w:val="18"/>
    <w:qFormat/>
    <w:uiPriority w:val="0"/>
    <w:rPr>
      <w:rFonts w:ascii="Calibri" w:hAnsi="Calibri"/>
      <w:kern w:val="2"/>
      <w:sz w:val="21"/>
      <w:szCs w:val="22"/>
    </w:rPr>
  </w:style>
  <w:style w:type="character" w:customStyle="1" w:styleId="43">
    <w:name w:val="标题 1 字符"/>
    <w:basedOn w:val="25"/>
    <w:link w:val="2"/>
    <w:qFormat/>
    <w:uiPriority w:val="1"/>
    <w:rPr>
      <w:rFonts w:ascii="Microsoft JhengHei" w:hAnsi="Microsoft JhengHei" w:eastAsia="Microsoft JhengHei" w:cs="Microsoft JhengHei"/>
      <w:b/>
      <w:bCs/>
      <w:kern w:val="2"/>
      <w:sz w:val="32"/>
      <w:szCs w:val="32"/>
      <w:lang w:val="zh-CN" w:bidi="zh-CN"/>
    </w:rPr>
  </w:style>
  <w:style w:type="character" w:customStyle="1" w:styleId="44">
    <w:name w:val="标题 2 字符"/>
    <w:basedOn w:val="25"/>
    <w:link w:val="3"/>
    <w:qFormat/>
    <w:uiPriority w:val="0"/>
    <w:rPr>
      <w:rFonts w:ascii="Arial" w:hAnsi="Arial" w:eastAsia="黑体"/>
      <w:b/>
      <w:kern w:val="2"/>
      <w:sz w:val="32"/>
    </w:rPr>
  </w:style>
  <w:style w:type="character" w:customStyle="1" w:styleId="45">
    <w:name w:val="标题 3 字符"/>
    <w:basedOn w:val="25"/>
    <w:link w:val="4"/>
    <w:qFormat/>
    <w:uiPriority w:val="0"/>
    <w:rPr>
      <w:rFonts w:ascii="Calibri" w:hAnsi="Calibri"/>
      <w:b/>
      <w:bCs/>
      <w:kern w:val="2"/>
      <w:sz w:val="24"/>
      <w:szCs w:val="32"/>
    </w:rPr>
  </w:style>
  <w:style w:type="character" w:customStyle="1" w:styleId="46">
    <w:name w:val="标题 4 字符"/>
    <w:basedOn w:val="25"/>
    <w:link w:val="5"/>
    <w:qFormat/>
    <w:uiPriority w:val="0"/>
    <w:rPr>
      <w:rFonts w:ascii="Cambria" w:hAnsi="Cambria"/>
      <w:b/>
      <w:bCs/>
      <w:kern w:val="2"/>
      <w:sz w:val="24"/>
      <w:szCs w:val="28"/>
    </w:rPr>
  </w:style>
  <w:style w:type="character" w:customStyle="1" w:styleId="47">
    <w:name w:val="纯文本 字符"/>
    <w:basedOn w:val="25"/>
    <w:link w:val="12"/>
    <w:qFormat/>
    <w:uiPriority w:val="0"/>
    <w:rPr>
      <w:rFonts w:ascii="宋体" w:hAnsi="Calibri"/>
      <w:kern w:val="2"/>
      <w:sz w:val="21"/>
      <w:szCs w:val="21"/>
    </w:rPr>
  </w:style>
  <w:style w:type="character" w:customStyle="1" w:styleId="48">
    <w:name w:val="正文文本缩进 2 字符"/>
    <w:basedOn w:val="25"/>
    <w:link w:val="13"/>
    <w:qFormat/>
    <w:uiPriority w:val="0"/>
    <w:rPr>
      <w:rFonts w:ascii="Ari" w:hAnsi="Calibri"/>
      <w:kern w:val="2"/>
      <w:sz w:val="32"/>
    </w:rPr>
  </w:style>
  <w:style w:type="character" w:customStyle="1" w:styleId="49">
    <w:name w:val="批注框文本 字符"/>
    <w:basedOn w:val="25"/>
    <w:link w:val="14"/>
    <w:qFormat/>
    <w:uiPriority w:val="0"/>
    <w:rPr>
      <w:rFonts w:ascii="Calibri" w:hAnsi="Calibri"/>
      <w:kern w:val="2"/>
      <w:sz w:val="18"/>
      <w:szCs w:val="18"/>
    </w:rPr>
  </w:style>
  <w:style w:type="paragraph" w:customStyle="1" w:styleId="50">
    <w:name w:val="表格文字"/>
    <w:basedOn w:val="1"/>
    <w:next w:val="9"/>
    <w:qFormat/>
    <w:uiPriority w:val="0"/>
    <w:pPr>
      <w:widowControl w:val="0"/>
      <w:kinsoku/>
      <w:autoSpaceDE/>
      <w:autoSpaceDN/>
      <w:snapToGrid/>
      <w:spacing w:line="420" w:lineRule="atLeast"/>
      <w:jc w:val="both"/>
    </w:pPr>
    <w:rPr>
      <w:rFonts w:ascii="Calibri" w:hAnsi="Calibri" w:eastAsia="宋体" w:cs="Times New Roman"/>
      <w:snapToGrid/>
      <w:color w:val="auto"/>
      <w:szCs w:val="22"/>
      <w:lang w:eastAsia="zh-CN"/>
    </w:rPr>
  </w:style>
  <w:style w:type="paragraph" w:customStyle="1" w:styleId="51">
    <w:name w:val="列出段落1"/>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character" w:customStyle="1" w:styleId="52">
    <w:name w:val="font151"/>
    <w:basedOn w:val="25"/>
    <w:qFormat/>
    <w:uiPriority w:val="0"/>
    <w:rPr>
      <w:rFonts w:hint="eastAsia" w:ascii="宋体" w:hAnsi="宋体" w:eastAsia="宋体" w:cs="宋体"/>
      <w:color w:val="000000"/>
      <w:sz w:val="24"/>
      <w:szCs w:val="24"/>
      <w:u w:val="none"/>
    </w:rPr>
  </w:style>
  <w:style w:type="character" w:customStyle="1" w:styleId="53">
    <w:name w:val="font131"/>
    <w:basedOn w:val="25"/>
    <w:qFormat/>
    <w:uiPriority w:val="0"/>
    <w:rPr>
      <w:rFonts w:hint="eastAsia" w:ascii="楷体" w:hAnsi="楷体" w:eastAsia="楷体" w:cs="楷体"/>
      <w:color w:val="000000"/>
      <w:sz w:val="24"/>
      <w:szCs w:val="24"/>
      <w:u w:val="none"/>
    </w:rPr>
  </w:style>
  <w:style w:type="character" w:customStyle="1" w:styleId="54">
    <w:name w:val="font161"/>
    <w:basedOn w:val="25"/>
    <w:qFormat/>
    <w:uiPriority w:val="0"/>
    <w:rPr>
      <w:rFonts w:hint="eastAsia" w:ascii="楷体" w:hAnsi="楷体" w:eastAsia="楷体" w:cs="楷体"/>
      <w:color w:val="000000"/>
      <w:sz w:val="24"/>
      <w:szCs w:val="24"/>
      <w:u w:val="none"/>
    </w:rPr>
  </w:style>
  <w:style w:type="paragraph" w:customStyle="1" w:styleId="55">
    <w:name w:val="TOC 标题1"/>
    <w:basedOn w:val="2"/>
    <w:next w:val="1"/>
    <w:qFormat/>
    <w:uiPriority w:val="0"/>
    <w:pPr>
      <w:spacing w:before="480" w:line="276" w:lineRule="auto"/>
      <w:outlineLvl w:val="9"/>
    </w:pPr>
    <w:rPr>
      <w:rFonts w:ascii="仿宋" w:hAnsi="仿宋" w:eastAsia="仿宋" w:cs="Times New Roman"/>
      <w:color w:val="000000"/>
      <w:kern w:val="0"/>
    </w:rPr>
  </w:style>
  <w:style w:type="character" w:customStyle="1" w:styleId="56">
    <w:name w:val="hover15"/>
    <w:basedOn w:val="25"/>
    <w:qFormat/>
    <w:uiPriority w:val="0"/>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无间隔1"/>
    <w:basedOn w:val="1"/>
    <w:qFormat/>
    <w:uiPriority w:val="0"/>
    <w:pPr>
      <w:widowControl w:val="0"/>
      <w:kinsoku/>
      <w:autoSpaceDE/>
      <w:autoSpaceDN/>
      <w:adjustRightInd/>
      <w:snapToGrid/>
      <w:spacing w:line="400" w:lineRule="exact"/>
      <w:jc w:val="both"/>
      <w:textAlignment w:val="auto"/>
    </w:pPr>
    <w:rPr>
      <w:rFonts w:ascii="Times New Roman" w:hAnsi="Times New Roman" w:eastAsia="宋体" w:cs="Times New Roman"/>
      <w:snapToGrid/>
      <w:kern w:val="2"/>
      <w:sz w:val="24"/>
      <w:szCs w:val="28"/>
      <w:lang w:eastAsia="zh-CN"/>
    </w:rPr>
  </w:style>
  <w:style w:type="paragraph" w:styleId="59">
    <w:name w:val="List Paragraph"/>
    <w:basedOn w:val="1"/>
    <w:qFormat/>
    <w:uiPriority w:val="1"/>
    <w:pPr>
      <w:widowControl w:val="0"/>
      <w:kinsoku/>
      <w:autoSpaceDE/>
      <w:autoSpaceDN/>
      <w:adjustRightInd/>
      <w:snapToGrid/>
      <w:ind w:left="1077" w:hanging="421"/>
      <w:jc w:val="both"/>
      <w:textAlignment w:val="auto"/>
    </w:pPr>
    <w:rPr>
      <w:rFonts w:ascii="宋体" w:hAnsi="宋体" w:eastAsia="宋体" w:cs="宋体"/>
      <w:snapToGrid/>
      <w:color w:val="auto"/>
      <w:kern w:val="2"/>
      <w:szCs w:val="22"/>
      <w:lang w:val="zh-CN" w:eastAsia="zh-CN" w:bidi="zh-CN"/>
    </w:rPr>
  </w:style>
  <w:style w:type="paragraph" w:customStyle="1" w:styleId="60">
    <w:name w:val="Table Paragraph"/>
    <w:basedOn w:val="1"/>
    <w:qFormat/>
    <w:uiPriority w:val="1"/>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61">
    <w:name w:val="文档正文"/>
    <w:basedOn w:val="1"/>
    <w:qFormat/>
    <w:uiPriority w:val="0"/>
    <w:pPr>
      <w:widowControl w:val="0"/>
      <w:kinsoku/>
      <w:autoSpaceDE/>
      <w:autoSpaceDN/>
      <w:snapToGrid/>
      <w:spacing w:line="480" w:lineRule="atLeast"/>
      <w:ind w:firstLine="567"/>
      <w:jc w:val="both"/>
    </w:pPr>
    <w:rPr>
      <w:rFonts w:ascii="仿宋_GB2312" w:hAnsi="Calibri" w:eastAsia="仿宋_GB2312" w:cs="Times New Roman"/>
      <w:snapToGrid/>
      <w:color w:val="auto"/>
      <w:sz w:val="28"/>
      <w:szCs w:val="20"/>
      <w:lang w:eastAsia="zh-CN"/>
    </w:rPr>
  </w:style>
  <w:style w:type="paragraph" w:customStyle="1" w:styleId="62">
    <w:name w:val="正文_5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font101"/>
    <w:basedOn w:val="25"/>
    <w:qFormat/>
    <w:uiPriority w:val="0"/>
    <w:rPr>
      <w:rFonts w:hint="default" w:ascii="等线" w:hAnsi="等线" w:eastAsia="等线" w:cs="等线"/>
      <w:color w:val="000000"/>
      <w:sz w:val="20"/>
      <w:szCs w:val="20"/>
      <w:u w:val="none"/>
    </w:rPr>
  </w:style>
  <w:style w:type="character" w:customStyle="1" w:styleId="64">
    <w:name w:val="font01"/>
    <w:basedOn w:val="25"/>
    <w:qFormat/>
    <w:uiPriority w:val="0"/>
    <w:rPr>
      <w:rFonts w:hint="default" w:ascii="等线" w:hAnsi="等线" w:eastAsia="等线" w:cs="等线"/>
      <w:color w:val="FF0000"/>
      <w:sz w:val="20"/>
      <w:szCs w:val="20"/>
      <w:u w:val="none"/>
    </w:rPr>
  </w:style>
  <w:style w:type="character" w:customStyle="1" w:styleId="65">
    <w:name w:val="页脚 字符"/>
    <w:basedOn w:val="25"/>
    <w:link w:val="15"/>
    <w:qFormat/>
    <w:uiPriority w:val="99"/>
    <w:rPr>
      <w:rFonts w:ascii="Tahoma" w:hAnsi="Tahoma" w:eastAsia="Arial" w:cs="Arial"/>
      <w:snapToGrid w:val="0"/>
      <w:color w:val="000000"/>
      <w:kern w:val="2"/>
      <w:sz w:val="18"/>
      <w:szCs w:val="18"/>
      <w:lang w:eastAsia="en-US"/>
    </w:rPr>
  </w:style>
  <w:style w:type="character" w:customStyle="1" w:styleId="66">
    <w:name w:val="页眉 字符"/>
    <w:basedOn w:val="25"/>
    <w:link w:val="16"/>
    <w:qFormat/>
    <w:uiPriority w:val="0"/>
    <w:rPr>
      <w:rFonts w:ascii="Tahoma" w:hAnsi="Tahoma" w:eastAsia="Arial" w:cs="Arial"/>
      <w:snapToGrid w:val="0"/>
      <w:color w:val="000000"/>
      <w:kern w:val="2"/>
      <w:sz w:val="18"/>
      <w:szCs w:val="18"/>
      <w:lang w:eastAsia="en-US"/>
    </w:rPr>
  </w:style>
  <w:style w:type="character" w:customStyle="1" w:styleId="67">
    <w:name w:val="批注文字 字符"/>
    <w:basedOn w:val="25"/>
    <w:link w:val="8"/>
    <w:qFormat/>
    <w:uiPriority w:val="0"/>
    <w:rPr>
      <w:rFonts w:ascii="Arial" w:hAnsi="Arial" w:eastAsia="Arial" w:cs="Arial"/>
      <w:snapToGrid w:val="0"/>
      <w:color w:val="000000"/>
      <w:sz w:val="21"/>
      <w:szCs w:val="21"/>
      <w:lang w:eastAsia="en-US"/>
    </w:rPr>
  </w:style>
  <w:style w:type="character" w:customStyle="1" w:styleId="68">
    <w:name w:val="first-child"/>
    <w:basedOn w:val="25"/>
    <w:qFormat/>
    <w:uiPriority w:val="0"/>
  </w:style>
  <w:style w:type="character" w:customStyle="1" w:styleId="69">
    <w:name w:val="first-child1"/>
    <w:basedOn w:val="25"/>
    <w:qFormat/>
    <w:uiPriority w:val="0"/>
  </w:style>
  <w:style w:type="character" w:customStyle="1" w:styleId="70">
    <w:name w:val="nth-child(n+2)"/>
    <w:basedOn w:val="25"/>
    <w:qFormat/>
    <w:uiPriority w:val="0"/>
  </w:style>
  <w:style w:type="character" w:customStyle="1" w:styleId="71">
    <w:name w:val="layui-layer-tabnow"/>
    <w:basedOn w:val="25"/>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4334</Words>
  <Characters>24709</Characters>
  <Lines>205</Lines>
  <Paragraphs>57</Paragraphs>
  <TotalTime>0</TotalTime>
  <ScaleCrop>false</ScaleCrop>
  <LinksUpToDate>false</LinksUpToDate>
  <CharactersWithSpaces>28986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happy杨</cp:lastModifiedBy>
  <cp:lastPrinted>2024-08-17T03:18:00Z</cp:lastPrinted>
  <dcterms:modified xsi:type="dcterms:W3CDTF">2024-08-19T12:54:00Z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2052-12.1.0.15990</vt:lpwstr>
  </property>
  <property fmtid="{D5CDD505-2E9C-101B-9397-08002B2CF9AE}" pid="5" name="ICV">
    <vt:lpwstr>8DC1B6AC3E51449489DD02ED1E885BF7_12</vt:lpwstr>
  </property>
</Properties>
</file>