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bookmarkStart w:id="0" w:name="_Hlk174565253"/>
      <w:bookmarkStart w:id="1" w:name="_Hlk174564997"/>
      <w:r>
        <w:rPr>
          <w:rFonts w:hint="eastAsia" w:ascii="宋体" w:hAnsi="宋体" w:eastAsia="宋体" w:cs="宋体"/>
          <w:b/>
          <w:bCs/>
          <w:snapToGrid/>
          <w:color w:val="auto"/>
          <w:kern w:val="2"/>
          <w:sz w:val="32"/>
          <w:szCs w:val="32"/>
          <w:lang w:eastAsia="zh-CN"/>
        </w:rPr>
        <w:drawing>
          <wp:inline distT="0" distB="0" distL="114300" distR="114300">
            <wp:extent cx="5608320" cy="9006205"/>
            <wp:effectExtent l="0" t="0" r="0" b="635"/>
            <wp:docPr id="3" name="图片 3" descr="文件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文件封面"/>
                    <pic:cNvPicPr>
                      <a:picLocks noChangeAspect="1"/>
                    </pic:cNvPicPr>
                  </pic:nvPicPr>
                  <pic:blipFill>
                    <a:blip r:embed="rId16"/>
                    <a:stretch>
                      <a:fillRect/>
                    </a:stretch>
                  </pic:blipFill>
                  <pic:spPr>
                    <a:xfrm>
                      <a:off x="0" y="0"/>
                      <a:ext cx="5608320" cy="9006205"/>
                    </a:xfrm>
                    <a:prstGeom prst="rect">
                      <a:avLst/>
                    </a:prstGeom>
                  </pic:spPr>
                </pic:pic>
              </a:graphicData>
            </a:graphic>
          </wp:inline>
        </w:drawing>
      </w:r>
    </w:p>
    <w:p>
      <w:pPr>
        <w:kinsoku/>
        <w:wordWrap w:val="0"/>
        <w:spacing w:line="360" w:lineRule="auto"/>
        <w:jc w:val="center"/>
        <w:outlineLvl w:val="0"/>
        <w:rPr>
          <w:rFonts w:hint="eastAsia" w:ascii="宋体" w:hAnsi="宋体" w:eastAsia="宋体" w:cs="宋体"/>
          <w:spacing w:val="-2"/>
          <w:sz w:val="52"/>
          <w:szCs w:val="52"/>
          <w:lang w:eastAsia="zh-CN"/>
          <w14:textOutline w14:w="3848" w14:cap="flat" w14:cmpd="sng" w14:algn="ctr">
            <w14:solidFill>
              <w14:srgbClr w14:val="000000"/>
            </w14:solidFill>
            <w14:prstDash w14:val="solid"/>
            <w14:miter w14:val="0"/>
          </w14:textOutline>
        </w:rPr>
      </w:pPr>
    </w:p>
    <w:p>
      <w:pPr>
        <w:kinsoku/>
        <w:wordWrap w:val="0"/>
        <w:spacing w:line="360" w:lineRule="auto"/>
        <w:jc w:val="center"/>
        <w:outlineLvl w:val="0"/>
        <w:rPr>
          <w:rFonts w:hint="eastAsia" w:ascii="宋体" w:hAnsi="宋体" w:eastAsia="宋体" w:cs="宋体"/>
          <w:sz w:val="52"/>
          <w:szCs w:val="52"/>
          <w:lang w:eastAsia="zh-CN"/>
        </w:rPr>
      </w:pPr>
      <w:r>
        <w:rPr>
          <w:rFonts w:hint="eastAsia" w:ascii="宋体" w:hAnsi="宋体" w:eastAsia="宋体" w:cs="宋体"/>
          <w:spacing w:val="-1"/>
          <w:sz w:val="52"/>
          <w:szCs w:val="52"/>
          <w:lang w:eastAsia="zh-CN"/>
          <w14:textOutline w14:w="3848" w14:cap="flat" w14:cmpd="sng" w14:algn="ctr">
            <w14:solidFill>
              <w14:srgbClr w14:val="000000"/>
            </w14:solidFill>
            <w14:prstDash w14:val="solid"/>
            <w14:miter w14:val="0"/>
          </w14:textOutline>
        </w:rPr>
        <w:t>南阳市卧龙区人民法院融合型科技法庭采购项目竞争性磋商文件</w:t>
      </w:r>
    </w:p>
    <w:p>
      <w:pPr>
        <w:kinsoku/>
        <w:wordWrap w:val="0"/>
        <w:spacing w:line="360" w:lineRule="auto"/>
        <w:jc w:val="center"/>
        <w:rPr>
          <w:rFonts w:hint="eastAsia" w:ascii="宋体" w:hAnsi="宋体" w:eastAsia="宋体" w:cs="宋体"/>
          <w:sz w:val="52"/>
          <w:szCs w:val="52"/>
          <w:lang w:eastAsia="zh-CN"/>
        </w:rPr>
      </w:pPr>
    </w:p>
    <w:p>
      <w:pPr>
        <w:kinsoku/>
        <w:wordWrap w:val="0"/>
        <w:spacing w:line="248"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249" w:lineRule="auto"/>
        <w:jc w:val="both"/>
        <w:rPr>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项目名称：</w:t>
      </w:r>
      <w:r>
        <w:rPr>
          <w:rFonts w:hint="eastAsia" w:asciiTheme="minorEastAsia" w:hAnsiTheme="minorEastAsia" w:eastAsiaTheme="minorEastAsia" w:cstheme="minorEastAsia"/>
          <w:b/>
          <w:bCs/>
          <w:spacing w:val="-17"/>
          <w:sz w:val="32"/>
          <w:szCs w:val="32"/>
          <w:u w:val="single"/>
          <w:lang w:eastAsia="zh-CN"/>
        </w:rPr>
        <w:t>南阳市卧龙区人民法院融合型科技法庭采购项目</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项目编号：</w:t>
      </w:r>
      <w:r>
        <w:rPr>
          <w:rFonts w:hint="eastAsia" w:asciiTheme="minorEastAsia" w:hAnsiTheme="minorEastAsia" w:eastAsiaTheme="minorEastAsia" w:cstheme="minorEastAsia"/>
          <w:b/>
          <w:bCs/>
          <w:spacing w:val="-17"/>
          <w:sz w:val="32"/>
          <w:szCs w:val="32"/>
          <w:u w:val="single"/>
          <w:lang w:eastAsia="zh-CN"/>
        </w:rPr>
        <w:t xml:space="preserve">豫财磋商采购-2024-896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标段编号：</w:t>
      </w:r>
      <w:r>
        <w:rPr>
          <w:rFonts w:hint="eastAsia" w:asciiTheme="minorEastAsia" w:hAnsiTheme="minorEastAsia" w:eastAsiaTheme="minorEastAsia" w:cstheme="minorEastAsia"/>
          <w:b/>
          <w:bCs/>
          <w:spacing w:val="-17"/>
          <w:sz w:val="32"/>
          <w:szCs w:val="32"/>
          <w:u w:val="single"/>
          <w:lang w:eastAsia="zh-CN"/>
        </w:rPr>
        <w:t xml:space="preserve"> 豫财磋商采购-2024-896-1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lang w:eastAsia="zh-CN"/>
        </w:rPr>
        <w:t>采购人：</w:t>
      </w:r>
      <w:r>
        <w:rPr>
          <w:rFonts w:hint="eastAsia" w:asciiTheme="minorEastAsia" w:hAnsiTheme="minorEastAsia" w:eastAsiaTheme="minorEastAsia" w:cstheme="minorEastAsia"/>
          <w:b/>
          <w:bCs/>
          <w:spacing w:val="-17"/>
          <w:sz w:val="32"/>
          <w:szCs w:val="32"/>
          <w:u w:val="single"/>
          <w:lang w:eastAsia="zh-CN"/>
        </w:rPr>
        <w:t xml:space="preserve"> 南阳市卧龙区人民法院         </w:t>
      </w:r>
    </w:p>
    <w:p>
      <w:pPr>
        <w:kinsoku/>
        <w:wordWrap w:val="0"/>
        <w:spacing w:line="360" w:lineRule="auto"/>
        <w:ind w:firstLine="1149" w:firstLineChars="400"/>
        <w:jc w:val="both"/>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lang w:eastAsia="zh-CN"/>
        </w:rPr>
        <w:t>采购代理机构：</w:t>
      </w:r>
      <w:r>
        <w:rPr>
          <w:rFonts w:hint="eastAsia" w:asciiTheme="minorEastAsia" w:hAnsiTheme="minorEastAsia" w:eastAsiaTheme="minorEastAsia" w:cstheme="minorEastAsia"/>
          <w:b/>
          <w:bCs/>
          <w:spacing w:val="-17"/>
          <w:sz w:val="32"/>
          <w:szCs w:val="32"/>
          <w:u w:val="single"/>
          <w:lang w:eastAsia="zh-CN"/>
        </w:rPr>
        <w:t xml:space="preserve">河南豫尧工程管理有限责任公司   </w:t>
      </w: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kinsoku/>
        <w:wordWrap w:val="0"/>
        <w:spacing w:line="360" w:lineRule="auto"/>
        <w:jc w:val="both"/>
        <w:rPr>
          <w:rFonts w:hint="eastAsia" w:asciiTheme="minorEastAsia" w:hAnsiTheme="minorEastAsia" w:eastAsiaTheme="minorEastAsia" w:cstheme="minorEastAsia"/>
          <w:b/>
          <w:bCs/>
          <w:spacing w:val="-17"/>
          <w:sz w:val="32"/>
          <w:szCs w:val="32"/>
          <w:u w:val="single"/>
          <w:lang w:eastAsia="zh-CN"/>
        </w:rPr>
      </w:pPr>
    </w:p>
    <w:p>
      <w:pPr>
        <w:pStyle w:val="9"/>
        <w:rPr>
          <w:rFonts w:hint="eastAsia"/>
          <w:lang w:eastAsia="zh-CN"/>
        </w:rPr>
      </w:pPr>
    </w:p>
    <w:p>
      <w:pPr>
        <w:pStyle w:val="10"/>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p>
    <w:sdt>
      <w:sdtPr>
        <w:rPr>
          <w:rFonts w:hint="eastAsia" w:ascii="宋体" w:hAnsi="宋体" w:eastAsia="宋体" w:cs="宋体"/>
          <w:b/>
          <w:bCs/>
          <w:snapToGrid/>
          <w:color w:val="auto"/>
          <w:kern w:val="2"/>
          <w:sz w:val="32"/>
          <w:szCs w:val="32"/>
          <w:lang w:eastAsia="zh-CN"/>
        </w:rPr>
        <w:id w:val="147462569"/>
        <w15:color w:val="DBDBDB"/>
        <w:docPartObj>
          <w:docPartGallery w:val="Table of Contents"/>
          <w:docPartUnique/>
        </w:docPartObj>
      </w:sdtPr>
      <w:sdtEndPr>
        <w:rPr>
          <w:rFonts w:hint="eastAsia" w:ascii="Calibri" w:hAnsi="Calibri" w:eastAsia="宋体" w:cs="Times New Roman"/>
          <w:b/>
          <w:bCs/>
          <w:snapToGrid/>
          <w:color w:val="auto"/>
          <w:kern w:val="2"/>
          <w:sz w:val="21"/>
          <w:szCs w:val="32"/>
          <w:lang w:eastAsia="zh-CN"/>
        </w:rPr>
      </w:sdtEndPr>
      <w:sdtContent>
        <w:p>
          <w:pPr>
            <w:widowControl w:val="0"/>
            <w:kinsoku/>
            <w:autoSpaceDE/>
            <w:autoSpaceDN/>
            <w:adjustRightInd/>
            <w:snapToGrid/>
            <w:spacing w:line="360" w:lineRule="auto"/>
            <w:jc w:val="center"/>
            <w:textAlignment w:val="auto"/>
            <w:rPr>
              <w:rFonts w:hint="eastAsia" w:ascii="宋体" w:hAnsi="宋体" w:eastAsia="宋体" w:cs="宋体"/>
              <w:b/>
              <w:bCs/>
              <w:snapToGrid/>
              <w:color w:val="auto"/>
              <w:kern w:val="2"/>
              <w:sz w:val="32"/>
              <w:szCs w:val="32"/>
              <w:lang w:eastAsia="zh-CN"/>
            </w:rPr>
          </w:pPr>
          <w:r>
            <w:rPr>
              <w:rFonts w:hint="eastAsia" w:ascii="宋体" w:hAnsi="宋体" w:eastAsia="宋体" w:cs="宋体"/>
              <w:b/>
              <w:bCs/>
              <w:snapToGrid/>
              <w:color w:val="auto"/>
              <w:kern w:val="2"/>
              <w:sz w:val="32"/>
              <w:szCs w:val="32"/>
              <w:lang w:eastAsia="zh-CN"/>
            </w:rPr>
            <w:t>目     录</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sdtContent>
    </w:sdt>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第一章   公开招标公告</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第二章   采购需求</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第三章   投标人须知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 xml:space="preserve">第四章   开、评标程序、评标方法和评标标准 </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第五章   政府采购合同（草案）</w:t>
      </w:r>
    </w:p>
    <w:p>
      <w:pPr>
        <w:widowControl w:val="0"/>
        <w:kinsoku/>
        <w:autoSpaceDE/>
        <w:autoSpaceDN/>
        <w:adjustRightInd/>
        <w:snapToGrid/>
        <w:spacing w:line="360" w:lineRule="auto"/>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第六章   投标文件格式</w:t>
      </w:r>
    </w:p>
    <w:p>
      <w:pPr>
        <w:widowControl w:val="0"/>
        <w:kinsoku/>
        <w:autoSpaceDE/>
        <w:autoSpaceDN/>
        <w:adjustRightInd/>
        <w:snapToGrid/>
        <w:spacing w:line="360" w:lineRule="auto"/>
        <w:jc w:val="center"/>
        <w:textAlignment w:val="auto"/>
        <w:rPr>
          <w:rFonts w:ascii="Calibri" w:hAnsi="Calibri" w:eastAsia="宋体" w:cs="Times New Roman"/>
          <w:b/>
          <w:bCs/>
          <w:snapToGrid/>
          <w:color w:val="auto"/>
          <w:kern w:val="2"/>
          <w:sz w:val="28"/>
          <w:szCs w:val="32"/>
          <w:lang w:eastAsia="zh-CN"/>
        </w:rPr>
        <w:sectPr>
          <w:pgSz w:w="11900" w:h="16838"/>
          <w:pgMar w:top="1334" w:right="1346" w:bottom="1315" w:left="1440" w:header="170" w:footer="964" w:gutter="0"/>
          <w:pgNumType w:start="1"/>
          <w:cols w:equalWidth="0" w:num="1">
            <w:col w:w="9120"/>
          </w:cols>
        </w:sect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bookmarkStart w:id="2" w:name="_Toc25660"/>
    </w:p>
    <w:p>
      <w:pPr>
        <w:widowControl w:val="0"/>
        <w:numPr>
          <w:ilvl w:val="0"/>
          <w:numId w:val="1"/>
        </w:numPr>
        <w:kinsoku/>
        <w:autoSpaceDE/>
        <w:autoSpaceDN/>
        <w:adjustRightInd/>
        <w:snapToGrid/>
        <w:spacing w:line="360" w:lineRule="auto"/>
        <w:jc w:val="center"/>
        <w:textAlignment w:val="auto"/>
        <w:outlineLvl w:val="0"/>
        <w:rPr>
          <w:rFonts w:ascii="Calibri" w:hAnsi="Calibri" w:eastAsia="宋体" w:cs="Times New Roman"/>
          <w:b/>
          <w:bCs/>
          <w:snapToGrid/>
          <w:color w:val="auto"/>
          <w:kern w:val="2"/>
          <w:sz w:val="28"/>
          <w:szCs w:val="32"/>
          <w:lang w:eastAsia="zh-CN"/>
        </w:rPr>
      </w:pPr>
      <w:r>
        <w:rPr>
          <w:rFonts w:hint="eastAsia" w:ascii="Calibri" w:hAnsi="Calibri" w:eastAsia="宋体" w:cs="Times New Roman"/>
          <w:b/>
          <w:bCs/>
          <w:snapToGrid/>
          <w:color w:val="auto"/>
          <w:kern w:val="2"/>
          <w:sz w:val="28"/>
          <w:szCs w:val="32"/>
          <w:lang w:eastAsia="zh-CN"/>
        </w:rPr>
        <w:t>采购公告</w:t>
      </w:r>
      <w:bookmarkEnd w:id="2"/>
      <w:bookmarkStart w:id="3" w:name="_Toc23479"/>
      <w:bookmarkStart w:id="4" w:name="_Toc503213126"/>
      <w:bookmarkStart w:id="5" w:name="_Toc22183"/>
      <w:bookmarkStart w:id="6" w:name="_Toc270604573"/>
      <w:bookmarkStart w:id="7" w:name="_Toc410126998"/>
    </w:p>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b/>
          <w:bCs/>
          <w:snapToGrid/>
          <w:sz w:val="32"/>
          <w:szCs w:val="32"/>
          <w:lang w:eastAsia="zh-CN"/>
        </w:rPr>
      </w:pPr>
      <w:bookmarkStart w:id="8" w:name="_Toc23002"/>
      <w:r>
        <w:rPr>
          <w:rFonts w:hint="eastAsia" w:ascii="宋体" w:hAnsi="宋体" w:eastAsia="宋体" w:cs="宋体"/>
          <w:b/>
          <w:bCs/>
          <w:snapToGrid/>
          <w:sz w:val="32"/>
          <w:szCs w:val="32"/>
          <w:lang w:eastAsia="zh-CN"/>
        </w:rPr>
        <w:t>南阳市卧龙区人民法院融合型科技法庭采购项目采购公告</w:t>
      </w:r>
    </w:p>
    <w:p>
      <w:pPr>
        <w:keepNext w:val="0"/>
        <w:keepLines w:val="0"/>
        <w:pageBreakBefore w:val="0"/>
        <w:widowControl/>
        <w:kinsoku/>
        <w:wordWrap/>
        <w:overflowPunct/>
        <w:topLinePunct w:val="0"/>
        <w:autoSpaceDE/>
        <w:autoSpaceDN/>
        <w:bidi w:val="0"/>
        <w:adjustRightInd/>
        <w:snapToGrid/>
        <w:spacing w:before="180" w:line="500" w:lineRule="exact"/>
        <w:ind w:right="62" w:firstLine="480" w:firstLineChars="200"/>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采购人拟就下述项目以竞争性磋商方式组织采购活动，欢迎潜在供应商参与本项目磋商。</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Times New Roman"/>
          <w:snapToGrid/>
          <w:color w:val="auto"/>
          <w:sz w:val="18"/>
          <w:szCs w:val="18"/>
          <w:lang w:eastAsia="zh-CN"/>
        </w:rPr>
      </w:pPr>
      <w:r>
        <w:rPr>
          <w:rFonts w:hint="eastAsia" w:ascii="宋体" w:hAnsi="宋体" w:eastAsia="宋体" w:cs="宋体"/>
          <w:b/>
          <w:snapToGrid/>
          <w:sz w:val="24"/>
          <w:szCs w:val="24"/>
          <w:lang w:eastAsia="zh-CN"/>
        </w:rPr>
        <w:t>一、项目基本情况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1、项目编号：</w:t>
      </w:r>
      <w:bookmarkStart w:id="9" w:name="_Hlk174549726"/>
      <w:r>
        <w:rPr>
          <w:rFonts w:hint="eastAsia" w:ascii="宋体" w:hAnsi="宋体" w:eastAsia="宋体" w:cs="宋体"/>
          <w:snapToGrid/>
          <w:sz w:val="24"/>
          <w:szCs w:val="24"/>
          <w:lang w:eastAsia="zh-CN"/>
        </w:rPr>
        <w:t>豫财磋商采购-2024-8</w:t>
      </w:r>
      <w:bookmarkEnd w:id="9"/>
      <w:r>
        <w:rPr>
          <w:rFonts w:hint="eastAsia" w:ascii="宋体" w:hAnsi="宋体" w:eastAsia="宋体" w:cs="宋体"/>
          <w:snapToGrid/>
          <w:sz w:val="24"/>
          <w:szCs w:val="24"/>
          <w:lang w:eastAsia="zh-CN"/>
        </w:rPr>
        <w:t>96</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2、项目名称：</w:t>
      </w:r>
      <w:bookmarkStart w:id="10" w:name="_Hlk174549739"/>
      <w:r>
        <w:rPr>
          <w:rFonts w:hint="eastAsia" w:ascii="宋体" w:hAnsi="宋体" w:eastAsia="宋体" w:cs="宋体"/>
          <w:snapToGrid/>
          <w:sz w:val="24"/>
          <w:szCs w:val="24"/>
          <w:lang w:eastAsia="zh-CN"/>
        </w:rPr>
        <w:t>南阳市卧龙区人民法院融合型科技法庭采购项目</w:t>
      </w:r>
      <w:bookmarkEnd w:id="10"/>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3、采购方式：竞争性磋商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4、预算金额：人民币193万元；最高限价：人民币193万元 </w:t>
      </w:r>
    </w:p>
    <w:tbl>
      <w:tblPr>
        <w:tblStyle w:val="38"/>
        <w:tblW w:w="8877" w:type="dxa"/>
        <w:tblInd w:w="-4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1800"/>
        <w:gridCol w:w="3812"/>
        <w:gridCol w:w="1148"/>
        <w:gridCol w:w="15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序号</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包号</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包名称</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包预算（元）</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包最高限价（元）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豫财磋商采购-2024-896-1</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南阳市卧龙区人民法院融合型科技法庭采购项目第一标段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744800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豫财磋商采购-2024-896-2</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南阳市卧龙区人民法院融合型科技法庭采购项目第二标段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620000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617"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w:t>
            </w:r>
          </w:p>
        </w:tc>
        <w:tc>
          <w:tcPr>
            <w:tcW w:w="18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both"/>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豫财磋商采购-2024-896-3</w:t>
            </w:r>
          </w:p>
        </w:tc>
        <w:tc>
          <w:tcPr>
            <w:tcW w:w="3812"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firstLine="48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南阳市卧龙区人民法院融合型科技法庭采购项目第三标段</w:t>
            </w:r>
          </w:p>
        </w:tc>
        <w:tc>
          <w:tcPr>
            <w:tcW w:w="1148"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c>
          <w:tcPr>
            <w:tcW w:w="1500" w:type="dxa"/>
            <w:noWrap w:val="0"/>
            <w:vAlign w:val="center"/>
          </w:tcPr>
          <w:p>
            <w:pPr>
              <w:keepNext w:val="0"/>
              <w:keepLines w:val="0"/>
              <w:pageBreakBefore w:val="0"/>
              <w:kinsoku/>
              <w:overflowPunct/>
              <w:topLinePunct w:val="0"/>
              <w:autoSpaceDE/>
              <w:autoSpaceDN/>
              <w:bidi w:val="0"/>
              <w:adjustRightInd/>
              <w:snapToGrid/>
              <w:spacing w:before="180" w:line="500" w:lineRule="exact"/>
              <w:ind w:right="60"/>
              <w:jc w:val="center"/>
              <w:textAlignment w:val="auto"/>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565200</w:t>
            </w:r>
          </w:p>
        </w:tc>
      </w:tr>
    </w:tbl>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 5、采购需求（包括但不限于标的的名称、数量、简要技术需求或服务要求等）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5.1、供货期：合同签订之日起15日历天</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5.2、采购范围：采购文件及设备清单内包含的所有内容</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5.3、质量要求：合格</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5.4、标段划分：本项目划分为三个标段</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5.5、质保期：硬件提供3年整机质保，1年上门服务，7×24小时电话响应支持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6、合同履行期限：15日历天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7、本项目是否接受联合体投标：否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8、是否接受进口产品：否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9、是否专门面向中小企业：否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二、申请人资格要求（须同时满足）：</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1、满足《中华人民共和国政府采购法》第二十二条规定；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2. 落实政府采购政策满足的资格要求：按照《政府采购促进中小企业发展管理办法》《财政部、司法部关于政府采购支持监狱企业发展有关问题的通知》《三部门联合发布关于促进残疾人就业政府采购政策的通知》的规定，扶持中小企业、监</w:t>
      </w:r>
      <w:bookmarkStart w:id="19" w:name="_GoBack"/>
      <w:bookmarkEnd w:id="19"/>
      <w:r>
        <w:rPr>
          <w:rFonts w:hint="eastAsia" w:ascii="宋体" w:hAnsi="宋体" w:eastAsia="宋体" w:cs="宋体"/>
          <w:snapToGrid/>
          <w:sz w:val="24"/>
          <w:szCs w:val="24"/>
          <w:lang w:eastAsia="zh-CN"/>
        </w:rPr>
        <w:t>狱企业和残疾人福利性单位发展。</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本项目支持河南省政府采购合同融资政策。</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3.本项目的特定资格要求</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3.1具有独立承担民事责任的能力；（提供有效的法人或者其他组织的营业执照等证明文件，自然人投标的需提供自然人的身份证明）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3.2具有良好的商业信誉和健全的财务会计管理制度；（提供2023年或2024年经审计的财务报告或本公司出具的财务报表，或提供近三个月内其银行出具的资信证明）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3.3具有履行合同所必须的设备和专业技术能力；（提供书面声明，内容不限，格式自拟）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3.4有依法缴纳税收和社会保障资金的良好记录；（提供2024年内任意1个月纳税和社保证明材料&lt;依法免税或不需要缴纳社会保障资金的供应商，应提供相应文件证明其依法免税或不需要缴纳社会保障金的证明材料&gt;）</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3.5参加政府采购活动前三年内，在经营活动中没有重大违法记录。（提供书面声明，见格式）</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供应商，不得参与本次采购活动。查询时间：本项目采购公告发布之后。</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3.7与采购人、采购人就本次采购的项目委托的招标代理机构以及上述机构的附属机构没有行政或经济关联。单位负责人为同一人或者存在直接控股、管理关系的不同供应商，不得参加同一合同项下的政府采购活动；（提供书面声明，内容不限，格式自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3.8 遵守国家有关法律、法规、规章。</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bookmarkStart w:id="11" w:name="_Toc172617108"/>
      <w:r>
        <w:rPr>
          <w:rFonts w:hint="eastAsia" w:ascii="宋体" w:hAnsi="宋体" w:eastAsia="宋体" w:cs="宋体"/>
          <w:b/>
          <w:snapToGrid/>
          <w:sz w:val="24"/>
          <w:szCs w:val="24"/>
          <w:lang w:eastAsia="zh-CN"/>
        </w:rPr>
        <w:t>三、落实政府采购政策需满足的资格要求:</w:t>
      </w:r>
      <w:bookmarkEnd w:id="11"/>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1.中小企业政策</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w:t>
      </w:r>
      <w:r>
        <w:rPr>
          <w:rFonts w:ascii="宋体" w:hAnsi="宋体" w:eastAsia="宋体"/>
          <w:sz w:val="24"/>
          <w:szCs w:val="24"/>
          <w:lang w:eastAsia="zh-CN"/>
        </w:rPr>
        <w:t>本项目不专门面向中小企业预留采购份额。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Segoe UI Symbol" w:hAnsi="Segoe UI Symbol" w:eastAsia="宋体" w:cs="Segoe UI Symbol"/>
          <w:sz w:val="24"/>
          <w:szCs w:val="24"/>
          <w:lang w:eastAsia="zh-CN"/>
        </w:rPr>
        <w:t>□</w:t>
      </w:r>
      <w:r>
        <w:rPr>
          <w:rFonts w:ascii="宋体" w:hAnsi="宋体" w:eastAsia="宋体"/>
          <w:sz w:val="24"/>
          <w:szCs w:val="24"/>
          <w:lang w:eastAsia="zh-CN"/>
        </w:rPr>
        <w:t>本项目专门面向中小企业采购。即：提供的货物全部由符合政策要求的中小/微企业制造、服务全部由符合政策要求的中小/微企业承接。中小企业划分标准所属行业</w:t>
      </w:r>
      <w:r>
        <w:rPr>
          <w:rFonts w:hint="eastAsia" w:ascii="宋体" w:hAnsi="宋体" w:eastAsia="宋体"/>
          <w:sz w:val="24"/>
          <w:szCs w:val="24"/>
          <w:lang w:eastAsia="zh-CN"/>
        </w:rPr>
        <w:t>：所有包为</w:t>
      </w:r>
      <w:r>
        <w:rPr>
          <w:rFonts w:ascii="宋体" w:hAnsi="宋体" w:eastAsia="宋体"/>
          <w:sz w:val="24"/>
          <w:szCs w:val="24"/>
          <w:lang w:eastAsia="zh-CN"/>
        </w:rPr>
        <w:t>软件和信息技术服务业</w:t>
      </w:r>
      <w:r>
        <w:rPr>
          <w:rFonts w:hint="eastAsia" w:ascii="宋体" w:hAnsi="宋体" w:eastAsia="宋体"/>
          <w:sz w:val="24"/>
          <w:szCs w:val="24"/>
          <w:lang w:eastAsia="zh-CN"/>
        </w:rPr>
        <w:t>。</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□本项目预留部分采购项目预算专门面向中小企业采购。对于预留份额，提供的货物由符合政策要求的中小/微企业制造、服务由符合政策要求的中小/微企业承接。预留份额通过以下措施进行：预留金额</w:t>
      </w:r>
      <w:r>
        <w:rPr>
          <w:rFonts w:hint="eastAsia" w:ascii="宋体" w:hAnsi="宋体" w:eastAsia="宋体"/>
          <w:sz w:val="24"/>
          <w:szCs w:val="24"/>
          <w:lang w:eastAsia="zh-CN"/>
        </w:rPr>
        <w:t xml:space="preserve"> </w:t>
      </w:r>
      <w:r>
        <w:rPr>
          <w:rFonts w:ascii="宋体" w:hAnsi="宋体" w:eastAsia="宋体"/>
          <w:sz w:val="24"/>
          <w:szCs w:val="24"/>
          <w:lang w:eastAsia="zh-CN"/>
        </w:rPr>
        <w:t xml:space="preserve"> </w:t>
      </w:r>
      <w:r>
        <w:rPr>
          <w:rFonts w:hint="eastAsia" w:ascii="宋体" w:hAnsi="宋体" w:eastAsia="宋体"/>
          <w:sz w:val="24"/>
          <w:szCs w:val="24"/>
          <w:lang w:eastAsia="zh-CN"/>
        </w:rPr>
        <w:t xml:space="preserve"> </w:t>
      </w:r>
      <w:r>
        <w:rPr>
          <w:rFonts w:ascii="宋体" w:hAnsi="宋体" w:eastAsia="宋体"/>
          <w:sz w:val="24"/>
          <w:szCs w:val="24"/>
          <w:lang w:eastAsia="zh-CN"/>
        </w:rPr>
        <w:t>万元或预留</w:t>
      </w:r>
      <w:r>
        <w:rPr>
          <w:rFonts w:hint="eastAsia" w:ascii="宋体" w:hAnsi="宋体" w:eastAsia="宋体"/>
          <w:sz w:val="24"/>
          <w:szCs w:val="24"/>
          <w:lang w:eastAsia="zh-CN"/>
        </w:rPr>
        <w:t xml:space="preserve">    </w:t>
      </w:r>
      <w:r>
        <w:rPr>
          <w:rFonts w:ascii="宋体" w:hAnsi="宋体" w:eastAsia="宋体"/>
          <w:sz w:val="24"/>
          <w:szCs w:val="24"/>
          <w:lang w:eastAsia="zh-CN"/>
        </w:rPr>
        <w:t>%份额。</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 xml:space="preserve">3.本项目支持河南省政府采购合同融资政策。 </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宋体" w:hAnsi="宋体" w:eastAsia="宋体"/>
          <w:sz w:val="24"/>
          <w:szCs w:val="24"/>
          <w:lang w:eastAsia="zh-CN"/>
        </w:rPr>
        <w:t>4.本项目是否属于政府购买服务：</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ascii="Segoe UI Symbol" w:hAnsi="Segoe UI Symbol" w:eastAsia="宋体" w:cs="Segoe UI Symbol"/>
          <w:sz w:val="24"/>
          <w:szCs w:val="24"/>
          <w:lang w:eastAsia="zh-CN"/>
        </w:rPr>
        <w:t>☑</w:t>
      </w:r>
      <w:r>
        <w:rPr>
          <w:rFonts w:ascii="宋体" w:hAnsi="宋体" w:eastAsia="宋体"/>
          <w:sz w:val="24"/>
          <w:szCs w:val="24"/>
          <w:lang w:eastAsia="zh-CN"/>
        </w:rPr>
        <w:t>否   □是，公益一类事业单位、使用事业编制且由财政拨款保障的群团组织，不得作为承接主体。</w:t>
      </w:r>
    </w:p>
    <w:p>
      <w:pPr>
        <w:keepNext w:val="0"/>
        <w:keepLines w:val="0"/>
        <w:pageBreakBefore w:val="0"/>
        <w:overflowPunct/>
        <w:topLinePunct w:val="0"/>
        <w:bidi w:val="0"/>
        <w:spacing w:line="500" w:lineRule="exact"/>
        <w:ind w:firstLine="480" w:firstLineChars="200"/>
        <w:rPr>
          <w:rFonts w:hint="eastAsia" w:ascii="宋体" w:hAnsi="宋体" w:eastAsia="宋体"/>
          <w:sz w:val="24"/>
          <w:szCs w:val="24"/>
          <w:lang w:eastAsia="zh-CN"/>
        </w:rPr>
      </w:pPr>
      <w:r>
        <w:rPr>
          <w:rFonts w:hint="eastAsia" w:ascii="宋体" w:hAnsi="宋体" w:eastAsia="宋体"/>
          <w:sz w:val="24"/>
          <w:szCs w:val="24"/>
          <w:lang w:eastAsia="zh-CN"/>
        </w:rPr>
        <w:t>5.本项目是否接受进口产品：</w:t>
      </w:r>
    </w:p>
    <w:p>
      <w:pPr>
        <w:keepNext w:val="0"/>
        <w:keepLines w:val="0"/>
        <w:pageBreakBefore w:val="0"/>
        <w:overflowPunct/>
        <w:topLinePunct w:val="0"/>
        <w:bidi w:val="0"/>
        <w:spacing w:line="500" w:lineRule="exact"/>
        <w:ind w:firstLine="480" w:firstLineChars="200"/>
        <w:rPr>
          <w:rFonts w:hint="eastAsia" w:ascii="宋体" w:hAnsi="宋体" w:eastAsia="宋体" w:cs="宋体"/>
          <w:snapToGrid/>
          <w:sz w:val="24"/>
          <w:szCs w:val="24"/>
          <w:lang w:eastAsia="zh-CN"/>
        </w:rPr>
      </w:pPr>
      <w:r>
        <w:rPr>
          <w:rFonts w:ascii="宋体" w:hAnsi="宋体" w:eastAsia="宋体"/>
          <w:sz w:val="24"/>
          <w:szCs w:val="24"/>
          <w:lang w:eastAsia="zh-CN"/>
        </w:rPr>
        <w:t xml:space="preserve">□接受进口产品  </w:t>
      </w:r>
      <w:r>
        <w:rPr>
          <w:rFonts w:ascii="Segoe UI Symbol" w:hAnsi="Segoe UI Symbol" w:eastAsia="宋体" w:cs="Segoe UI Symbol"/>
          <w:sz w:val="24"/>
          <w:szCs w:val="24"/>
          <w:lang w:eastAsia="zh-CN"/>
        </w:rPr>
        <w:t>☑</w:t>
      </w:r>
      <w:r>
        <w:rPr>
          <w:rFonts w:ascii="宋体" w:hAnsi="宋体" w:eastAsia="宋体"/>
          <w:sz w:val="24"/>
          <w:szCs w:val="24"/>
          <w:lang w:eastAsia="zh-CN"/>
        </w:rPr>
        <w:t>不接受进口产品</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四、获取采购文件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21</w:t>
      </w:r>
      <w:r>
        <w:rPr>
          <w:rFonts w:hint="eastAsia" w:ascii="宋体" w:hAnsi="宋体" w:eastAsia="宋体" w:cs="宋体"/>
          <w:snapToGrid/>
          <w:sz w:val="24"/>
          <w:szCs w:val="24"/>
          <w:lang w:eastAsia="zh-CN"/>
        </w:rPr>
        <w:t>日至2024年</w:t>
      </w:r>
      <w:r>
        <w:rPr>
          <w:rFonts w:hint="eastAsia" w:ascii="宋体" w:hAnsi="宋体" w:eastAsia="宋体" w:cs="宋体"/>
          <w:snapToGrid/>
          <w:sz w:val="24"/>
          <w:szCs w:val="24"/>
          <w:lang w:val="en-US" w:eastAsia="zh-CN"/>
        </w:rPr>
        <w:t>8</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27</w:t>
      </w:r>
      <w:r>
        <w:rPr>
          <w:rFonts w:hint="eastAsia" w:ascii="宋体" w:hAnsi="宋体" w:eastAsia="宋体" w:cs="宋体"/>
          <w:snapToGrid/>
          <w:sz w:val="24"/>
          <w:szCs w:val="24"/>
          <w:lang w:eastAsia="zh-CN"/>
        </w:rPr>
        <w:t xml:space="preserve">日，每天上午08:00至12:00，下午12:00至18:00（北京时间，法定节假日除外。）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4.售价：0元 </w:t>
      </w:r>
    </w:p>
    <w:p>
      <w:pPr>
        <w:keepNext w:val="0"/>
        <w:keepLines w:val="0"/>
        <w:pageBreakBefore w:val="0"/>
        <w:kinsoku/>
        <w:overflowPunct/>
        <w:topLinePunct w:val="0"/>
        <w:autoSpaceDE/>
        <w:autoSpaceDN/>
        <w:bidi w:val="0"/>
        <w:adjustRightInd/>
        <w:snapToGrid/>
        <w:spacing w:before="150" w:line="50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五、响应文件提交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1.截止时间：2024年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六、响应文件开启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1.时间：2024年</w:t>
      </w:r>
      <w:r>
        <w:rPr>
          <w:rFonts w:hint="eastAsia" w:ascii="宋体" w:hAnsi="宋体" w:eastAsia="宋体" w:cs="宋体"/>
          <w:snapToGrid/>
          <w:sz w:val="24"/>
          <w:szCs w:val="24"/>
          <w:lang w:val="en-US" w:eastAsia="zh-CN"/>
        </w:rPr>
        <w:t>9</w:t>
      </w:r>
      <w:r>
        <w:rPr>
          <w:rFonts w:hint="eastAsia" w:ascii="宋体" w:hAnsi="宋体" w:eastAsia="宋体" w:cs="宋体"/>
          <w:snapToGrid/>
          <w:sz w:val="24"/>
          <w:szCs w:val="24"/>
          <w:lang w:eastAsia="zh-CN"/>
        </w:rPr>
        <w:t>月</w:t>
      </w:r>
      <w:r>
        <w:rPr>
          <w:rFonts w:hint="eastAsia" w:ascii="宋体" w:hAnsi="宋体" w:eastAsia="宋体" w:cs="宋体"/>
          <w:snapToGrid/>
          <w:sz w:val="24"/>
          <w:szCs w:val="24"/>
          <w:lang w:val="en-US" w:eastAsia="zh-CN"/>
        </w:rPr>
        <w:t>4</w:t>
      </w:r>
      <w:r>
        <w:rPr>
          <w:rFonts w:hint="eastAsia" w:ascii="宋体" w:hAnsi="宋体" w:eastAsia="宋体" w:cs="宋体"/>
          <w:snapToGrid/>
          <w:sz w:val="24"/>
          <w:szCs w:val="24"/>
          <w:lang w:eastAsia="zh-CN"/>
        </w:rPr>
        <w:t>日</w:t>
      </w:r>
      <w:r>
        <w:rPr>
          <w:rFonts w:hint="eastAsia" w:ascii="宋体" w:hAnsi="宋体" w:eastAsia="宋体" w:cs="宋体"/>
          <w:snapToGrid/>
          <w:sz w:val="24"/>
          <w:szCs w:val="24"/>
          <w:lang w:val="en-US" w:eastAsia="zh-CN"/>
        </w:rPr>
        <w:t>09</w:t>
      </w:r>
      <w:r>
        <w:rPr>
          <w:rFonts w:hint="eastAsia" w:ascii="宋体" w:hAnsi="宋体" w:eastAsia="宋体" w:cs="宋体"/>
          <w:snapToGrid/>
          <w:sz w:val="24"/>
          <w:szCs w:val="24"/>
          <w:lang w:eastAsia="zh-CN"/>
        </w:rPr>
        <w:t xml:space="preserve"> 时</w:t>
      </w:r>
      <w:r>
        <w:rPr>
          <w:rFonts w:hint="eastAsia" w:ascii="宋体" w:hAnsi="宋体" w:eastAsia="宋体" w:cs="宋体"/>
          <w:snapToGrid/>
          <w:sz w:val="24"/>
          <w:szCs w:val="24"/>
          <w:lang w:val="en-US" w:eastAsia="zh-CN"/>
        </w:rPr>
        <w:t>00</w:t>
      </w:r>
      <w:r>
        <w:rPr>
          <w:rFonts w:hint="eastAsia" w:ascii="宋体" w:hAnsi="宋体" w:eastAsia="宋体" w:cs="宋体"/>
          <w:snapToGrid/>
          <w:sz w:val="24"/>
          <w:szCs w:val="24"/>
          <w:lang w:eastAsia="zh-CN"/>
        </w:rPr>
        <w:t xml:space="preserve">分（北京时间）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2.地点：南阳市公共资源交易中心网站https://ggzyjy.nanyang.gov.cn，本项目使用不见面开标，供应商无需前往现场来参与投标。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七、发布公告的媒介及招标公告期限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本次招标公告在《河南省政府采购网》《南阳市公共资源交易中心网》发布， 招标公告期限为三个工作日 。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 xml:space="preserve">八、其他补充事宜 </w:t>
      </w:r>
    </w:p>
    <w:p>
      <w:pPr>
        <w:keepNext w:val="0"/>
        <w:keepLines w:val="0"/>
        <w:pageBreakBefore w:val="0"/>
        <w:kinsoku/>
        <w:overflowPunct/>
        <w:topLinePunct w:val="0"/>
        <w:autoSpaceDE/>
        <w:autoSpaceDN/>
        <w:bidi w:val="0"/>
        <w:adjustRightInd/>
        <w:snapToGrid/>
        <w:spacing w:line="52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二次报价时间及报价注意事项：请供应商在开标结束后，时刻注意系统提示信息，专家小组会在系统上发起二次报价，请供应商及时在规定的时间段内填报二次报价。二次报价结束后方可离开，不进行二次报价的视为放弃磋商。 </w:t>
      </w:r>
    </w:p>
    <w:p>
      <w:pPr>
        <w:keepNext w:val="0"/>
        <w:keepLines w:val="0"/>
        <w:pageBreakBefore w:val="0"/>
        <w:kinsoku/>
        <w:overflowPunct/>
        <w:topLinePunct w:val="0"/>
        <w:autoSpaceDE/>
        <w:autoSpaceDN/>
        <w:bidi w:val="0"/>
        <w:adjustRightInd/>
        <w:snapToGrid/>
        <w:spacing w:before="150" w:line="520" w:lineRule="exact"/>
        <w:ind w:left="480"/>
        <w:textAlignment w:val="auto"/>
        <w:rPr>
          <w:rFonts w:hint="eastAsia" w:ascii="宋体" w:hAnsi="宋体" w:eastAsia="宋体" w:cs="宋体"/>
          <w:b/>
          <w:snapToGrid/>
          <w:sz w:val="24"/>
          <w:szCs w:val="24"/>
          <w:lang w:eastAsia="zh-CN"/>
        </w:rPr>
      </w:pPr>
      <w:r>
        <w:rPr>
          <w:rFonts w:hint="eastAsia" w:ascii="宋体" w:hAnsi="宋体" w:eastAsia="宋体" w:cs="宋体"/>
          <w:b/>
          <w:snapToGrid/>
          <w:sz w:val="24"/>
          <w:szCs w:val="24"/>
          <w:lang w:eastAsia="zh-CN"/>
        </w:rPr>
        <w:t>九、对本次采购提出询问，请按以下方式联系。</w:t>
      </w:r>
    </w:p>
    <w:p>
      <w:pPr>
        <w:keepNext w:val="0"/>
        <w:keepLines w:val="0"/>
        <w:pageBreakBefore w:val="0"/>
        <w:widowControl w:val="0"/>
        <w:shd w:val="clear" w:color="auto" w:fill="FFFFFF"/>
        <w:kinsoku/>
        <w:wordWrap w:val="0"/>
        <w:overflowPunct/>
        <w:topLinePunct w:val="0"/>
        <w:autoSpaceDE/>
        <w:autoSpaceDN/>
        <w:bidi w:val="0"/>
        <w:adjustRightInd/>
        <w:snapToGrid/>
        <w:spacing w:line="52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1. 采购人信息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名称：南阳市卧龙区人民法院 </w:t>
      </w:r>
    </w:p>
    <w:p>
      <w:pPr>
        <w:keepNext w:val="0"/>
        <w:keepLines w:val="0"/>
        <w:pageBreakBefore w:val="0"/>
        <w:widowControl w:val="0"/>
        <w:shd w:val="clear" w:color="auto" w:fill="FFFFFF"/>
        <w:kinsoku/>
        <w:wordWrap w:val="0"/>
        <w:overflowPunct/>
        <w:topLinePunct w:val="0"/>
        <w:autoSpaceDE/>
        <w:autoSpaceDN/>
        <w:bidi w:val="0"/>
        <w:adjustRightInd/>
        <w:snapToGrid/>
        <w:spacing w:line="500" w:lineRule="exact"/>
        <w:ind w:firstLine="464" w:firstLineChars="200"/>
        <w:jc w:val="both"/>
        <w:textAlignment w:val="auto"/>
        <w:rPr>
          <w:rFonts w:hint="eastAsia" w:ascii="宋体" w:hAnsi="宋体" w:eastAsia="宋体" w:cs="宋体"/>
          <w:snapToGrid/>
          <w:color w:val="auto"/>
          <w:spacing w:val="-4"/>
          <w:kern w:val="2"/>
          <w:sz w:val="24"/>
          <w:szCs w:val="24"/>
          <w:lang w:eastAsia="zh-CN"/>
        </w:rPr>
      </w:pPr>
      <w:r>
        <w:rPr>
          <w:rFonts w:hint="eastAsia" w:ascii="宋体" w:hAnsi="宋体" w:eastAsia="宋体" w:cs="宋体"/>
          <w:snapToGrid/>
          <w:color w:val="auto"/>
          <w:spacing w:val="-4"/>
          <w:kern w:val="2"/>
          <w:sz w:val="24"/>
          <w:szCs w:val="24"/>
          <w:lang w:eastAsia="zh-CN"/>
        </w:rPr>
        <w:t xml:space="preserve">地址：南阳市人民北路968号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联系人：徐先生</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联系方式：17603771113</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2.采购代理机构信息（如有）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名称：河南豫尧工程管理有限责任公司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地址：河南省南阳市城乡一体化示范区新店乡菱新路草店村188号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3.项目联系方式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 xml:space="preserve">项目联系人：马女士 </w:t>
      </w:r>
    </w:p>
    <w:p>
      <w:pPr>
        <w:keepNext w:val="0"/>
        <w:keepLines w:val="0"/>
        <w:pageBreakBefore w:val="0"/>
        <w:kinsoku/>
        <w:overflowPunct/>
        <w:topLinePunct w:val="0"/>
        <w:autoSpaceDE/>
        <w:autoSpaceDN/>
        <w:bidi w:val="0"/>
        <w:adjustRightInd/>
        <w:snapToGrid/>
        <w:spacing w:line="500" w:lineRule="exact"/>
        <w:ind w:firstLine="480"/>
        <w:rPr>
          <w:rFonts w:hint="eastAsia" w:ascii="宋体" w:hAnsi="宋体" w:eastAsia="宋体" w:cs="宋体"/>
          <w:snapToGrid/>
          <w:sz w:val="24"/>
          <w:szCs w:val="24"/>
          <w:lang w:eastAsia="zh-CN"/>
        </w:rPr>
      </w:pPr>
      <w:r>
        <w:rPr>
          <w:rFonts w:hint="eastAsia" w:ascii="宋体" w:hAnsi="宋体" w:eastAsia="宋体" w:cs="宋体"/>
          <w:snapToGrid/>
          <w:sz w:val="24"/>
          <w:szCs w:val="24"/>
          <w:lang w:eastAsia="zh-CN"/>
        </w:rPr>
        <w:t>联系方式：18703756881</w:t>
      </w:r>
    </w:p>
    <w:p>
      <w:pPr>
        <w:widowControl w:val="0"/>
        <w:kinsoku/>
        <w:wordWrap w:val="0"/>
        <w:autoSpaceDE/>
        <w:autoSpaceDN/>
        <w:adjustRightInd/>
        <w:snapToGrid/>
        <w:spacing w:after="120" w:line="360" w:lineRule="auto"/>
        <w:jc w:val="both"/>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both"/>
        <w:textAlignment w:val="auto"/>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pPr>
    </w:p>
    <w:p>
      <w:pPr>
        <w:widowControl w:val="0"/>
        <w:kinsoku/>
        <w:wordWrap w:val="0"/>
        <w:autoSpaceDE/>
        <w:autoSpaceDN/>
        <w:adjustRightInd/>
        <w:snapToGrid/>
        <w:spacing w:after="120" w:line="360" w:lineRule="auto"/>
        <w:jc w:val="center"/>
        <w:textAlignment w:val="auto"/>
        <w:rPr>
          <w:rFonts w:hint="eastAsia" w:ascii="宋体" w:hAnsi="宋体" w:eastAsia="宋体" w:cs="宋体"/>
          <w:snapToGrid/>
          <w:color w:val="auto"/>
          <w:spacing w:val="-15"/>
          <w:kern w:val="2"/>
          <w:sz w:val="24"/>
          <w:szCs w:val="24"/>
          <w:lang w:eastAsia="zh-CN"/>
        </w:rPr>
      </w:pPr>
      <w:r>
        <w:rPr>
          <w:rFonts w:hint="eastAsia" w:ascii="宋体" w:hAnsi="宋体" w:eastAsia="宋体" w:cs="宋体"/>
          <w:snapToGrid/>
          <w:color w:val="auto"/>
          <w:spacing w:val="-1"/>
          <w:kern w:val="2"/>
          <w:sz w:val="36"/>
          <w:szCs w:val="36"/>
          <w:lang w:eastAsia="zh-CN"/>
          <w14:textOutline w14:w="2311" w14:cap="flat" w14:cmpd="sng" w14:algn="ctr">
            <w14:solidFill>
              <w14:srgbClr w14:val="000000"/>
            </w14:solidFill>
            <w14:prstDash w14:val="solid"/>
            <w14:miter w14:val="0"/>
          </w14:textOutline>
        </w:rPr>
        <w:t>第二章 采购需求</w:t>
      </w: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kern w:val="2"/>
          <w:szCs w:val="22"/>
          <w:lang w:eastAsia="zh-CN"/>
        </w:rPr>
      </w:pPr>
    </w:p>
    <w:p>
      <w:pPr>
        <w:widowControl w:val="0"/>
        <w:kinsoku/>
        <w:wordWrap w:val="0"/>
        <w:autoSpaceDE/>
        <w:autoSpaceDN/>
        <w:adjustRightInd/>
        <w:snapToGrid/>
        <w:spacing w:after="120" w:line="360" w:lineRule="auto"/>
        <w:ind w:left="622"/>
        <w:jc w:val="both"/>
        <w:textAlignment w:val="auto"/>
        <w:rPr>
          <w:rFonts w:hint="eastAsia" w:ascii="宋体" w:hAnsi="宋体" w:eastAsia="宋体" w:cs="宋体"/>
          <w:snapToGrid/>
          <w:color w:val="auto"/>
          <w:spacing w:val="-1"/>
          <w:kern w:val="2"/>
          <w:sz w:val="24"/>
          <w:szCs w:val="24"/>
          <w:lang w:eastAsia="zh-CN"/>
          <w14:textOutline w14:w="1536" w14:cap="flat" w14:cmpd="sng" w14:algn="ctr">
            <w14:solidFill>
              <w14:srgbClr w14:val="000000"/>
            </w14:solidFill>
            <w14:prstDash w14:val="solid"/>
            <w14:miter w14:val="0"/>
          </w14:textOutline>
        </w:rPr>
      </w:pPr>
      <w:r>
        <w:rPr>
          <w:rFonts w:hint="eastAsia" w:ascii="宋体" w:hAnsi="宋体" w:eastAsia="宋体" w:cs="宋体"/>
          <w:snapToGrid/>
          <w:color w:val="auto"/>
          <w:spacing w:val="-1"/>
          <w:kern w:val="2"/>
          <w:sz w:val="24"/>
          <w:szCs w:val="24"/>
          <w:lang w:eastAsia="zh-CN"/>
          <w14:textOutline w14:w="1536" w14:cap="flat" w14:cmpd="sng" w14:algn="ctr">
            <w14:solidFill>
              <w14:srgbClr w14:val="000000"/>
            </w14:solidFill>
            <w14:prstDash w14:val="solid"/>
            <w14:miter w14:val="0"/>
          </w14:textOutline>
        </w:rPr>
        <w:t>一、采购内容及要求：</w:t>
      </w:r>
    </w:p>
    <w:tbl>
      <w:tblPr>
        <w:tblStyle w:val="23"/>
        <w:tblW w:w="9620" w:type="dxa"/>
        <w:jc w:val="center"/>
        <w:tblLayout w:type="fixed"/>
        <w:tblCellMar>
          <w:top w:w="0" w:type="dxa"/>
          <w:left w:w="108" w:type="dxa"/>
          <w:bottom w:w="0" w:type="dxa"/>
          <w:right w:w="108" w:type="dxa"/>
        </w:tblCellMar>
      </w:tblPr>
      <w:tblGrid>
        <w:gridCol w:w="402"/>
        <w:gridCol w:w="586"/>
        <w:gridCol w:w="7488"/>
        <w:gridCol w:w="602"/>
        <w:gridCol w:w="542"/>
      </w:tblGrid>
      <w:tr>
        <w:tblPrEx>
          <w:tblCellMar>
            <w:top w:w="0" w:type="dxa"/>
            <w:left w:w="108" w:type="dxa"/>
            <w:bottom w:w="0" w:type="dxa"/>
            <w:right w:w="108" w:type="dxa"/>
          </w:tblCellMar>
        </w:tblPrEx>
        <w:trPr>
          <w:trHeight w:val="1279" w:hRule="atLeast"/>
          <w:jc w:val="center"/>
        </w:trPr>
        <w:tc>
          <w:tcPr>
            <w:tcW w:w="9620" w:type="dxa"/>
            <w:gridSpan w:val="5"/>
            <w:tcBorders>
              <w:top w:val="nil"/>
              <w:left w:val="nil"/>
              <w:bottom w:val="single" w:color="auto" w:sz="4" w:space="0"/>
              <w:right w:val="nil"/>
            </w:tcBorders>
            <w:shd w:val="clear" w:color="auto" w:fill="FFFFFF"/>
            <w:vAlign w:val="center"/>
          </w:tcPr>
          <w:p>
            <w:pPr>
              <w:widowControl w:val="0"/>
              <w:kinsoku/>
              <w:autoSpaceDE/>
              <w:autoSpaceDN/>
              <w:adjustRightInd/>
              <w:snapToGrid/>
              <w:jc w:val="center"/>
              <w:textAlignment w:val="auto"/>
              <w:rPr>
                <w:rFonts w:hint="eastAsia" w:ascii="宋体" w:hAnsi="宋体" w:eastAsia="宋体" w:cs="宋体"/>
                <w:b/>
                <w:bCs/>
                <w:snapToGrid/>
                <w:sz w:val="36"/>
                <w:szCs w:val="36"/>
                <w:lang w:eastAsia="zh-CN" w:bidi="ar"/>
              </w:rPr>
            </w:pPr>
            <w:r>
              <w:rPr>
                <w:rFonts w:hint="eastAsia" w:ascii="宋体" w:hAnsi="宋体" w:eastAsia="宋体" w:cs="宋体"/>
                <w:b/>
                <w:bCs/>
                <w:snapToGrid/>
                <w:sz w:val="36"/>
                <w:szCs w:val="36"/>
                <w:lang w:eastAsia="zh-CN" w:bidi="ar"/>
              </w:rPr>
              <w:t>融合型智慧庭审系统方案院机关前端设备参数</w:t>
            </w:r>
          </w:p>
          <w:p>
            <w:pPr>
              <w:widowControl w:val="0"/>
              <w:kinsoku/>
              <w:autoSpaceDE/>
              <w:autoSpaceDN/>
              <w:adjustRightInd/>
              <w:snapToGrid/>
              <w:jc w:val="right"/>
              <w:textAlignment w:val="auto"/>
              <w:rPr>
                <w:rFonts w:hint="eastAsia" w:ascii="宋体" w:hAnsi="宋体" w:eastAsia="宋体" w:cs="宋体"/>
                <w:b/>
                <w:bCs/>
                <w:snapToGrid/>
                <w:sz w:val="28"/>
                <w:szCs w:val="28"/>
                <w:lang w:eastAsia="zh-CN" w:bidi="ar"/>
              </w:rPr>
            </w:pPr>
            <w:r>
              <w:rPr>
                <w:rFonts w:hint="eastAsia" w:ascii="宋体" w:hAnsi="宋体" w:eastAsia="宋体" w:cs="宋体"/>
                <w:b/>
                <w:bCs/>
                <w:snapToGrid/>
                <w:sz w:val="36"/>
                <w:szCs w:val="36"/>
                <w:lang w:eastAsia="zh-CN" w:bidi="ar"/>
              </w:rPr>
              <w:t xml:space="preserve">                                                          </w:t>
            </w:r>
            <w:r>
              <w:rPr>
                <w:rFonts w:hint="eastAsia" w:ascii="宋体" w:hAnsi="宋体" w:eastAsia="宋体" w:cs="宋体"/>
                <w:b/>
                <w:bCs/>
                <w:snapToGrid/>
                <w:sz w:val="28"/>
                <w:szCs w:val="28"/>
                <w:lang w:eastAsia="zh-CN" w:bidi="ar"/>
              </w:rPr>
              <w:t xml:space="preserve"> </w:t>
            </w:r>
          </w:p>
        </w:tc>
      </w:tr>
      <w:tr>
        <w:tblPrEx>
          <w:tblCellMar>
            <w:top w:w="0" w:type="dxa"/>
            <w:left w:w="108" w:type="dxa"/>
            <w:bottom w:w="0" w:type="dxa"/>
            <w:right w:w="108" w:type="dxa"/>
          </w:tblCellMar>
        </w:tblPrEx>
        <w:trPr>
          <w:trHeight w:val="1219"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 xml:space="preserve">序号 </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设备名称</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功能参数</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数量</w:t>
            </w:r>
          </w:p>
        </w:tc>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单位</w:t>
            </w:r>
          </w:p>
        </w:tc>
      </w:tr>
      <w:tr>
        <w:tblPrEx>
          <w:tblCellMar>
            <w:top w:w="0" w:type="dxa"/>
            <w:left w:w="108" w:type="dxa"/>
            <w:bottom w:w="0" w:type="dxa"/>
            <w:right w:w="108" w:type="dxa"/>
          </w:tblCellMar>
        </w:tblPrEx>
        <w:trPr>
          <w:trHeight w:val="2476"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b/>
                <w:bCs/>
                <w:snapToGrid/>
                <w:kern w:val="2"/>
                <w:sz w:val="22"/>
                <w:szCs w:val="22"/>
                <w:lang w:eastAsia="zh-CN"/>
              </w:rPr>
            </w:pPr>
            <w:r>
              <w:rPr>
                <w:rFonts w:hint="eastAsia" w:ascii="宋体" w:hAnsi="宋体" w:eastAsia="宋体" w:cs="宋体"/>
                <w:snapToGrid/>
                <w:sz w:val="20"/>
                <w:szCs w:val="20"/>
                <w:lang w:eastAsia="zh-CN" w:bidi="ar"/>
              </w:rPr>
              <w:t>1</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b/>
                <w:bCs/>
                <w:snapToGrid/>
                <w:kern w:val="2"/>
                <w:sz w:val="22"/>
                <w:szCs w:val="22"/>
                <w:lang w:eastAsia="zh-CN"/>
              </w:rPr>
            </w:pPr>
            <w:r>
              <w:rPr>
                <w:rFonts w:hint="eastAsia" w:ascii="宋体" w:hAnsi="宋体" w:eastAsia="宋体" w:cs="宋体"/>
                <w:snapToGrid/>
                <w:sz w:val="20"/>
                <w:szCs w:val="20"/>
                <w:lang w:eastAsia="zh-CN" w:bidi="ar"/>
              </w:rPr>
              <w:t>数字庭审主机</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一、数字庭审主机</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 xml:space="preserve">1、专为科技法庭应用而设计的专业设备。设备应集以下六大功能于一体：音频处理器、视频无缝混矩、可编程中控、录播编解码、视频会议终端、多方互动MCU，纯嵌入式架构。 </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2、可视化集控:主机自带B/S、GUI可视化集控操作界面，具备场景一键调用、8路视频可视化预览及拖拽切换、视频会议及拔号呼叫管理、录播导播管理、可编程中控设备管理、音频可视化管理。</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3、界面可编程：C/S可视化集控,具备可编程自定义功能，根据不同应用场景实现自定义界面。</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4、主机采用19"标准单一机箱；电信级拔插式结构设计，输入输出板卡采用可自由配置方式，支持带电插拔升级维护。前面支持不低于3.5寸液晶触摸显示屏，可以视频预览和触控操作菜单；</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5、视频接口：输入3个槽位，输出2个槽位，单卡4路，支持热插拔，支持OSD叠加。提供CNAS出具的检测报告证明材料。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6、本项目支持摄像机输入：≥6路3G-SDI输入；6路3G-SDI环路输出。证据或书记员电脑视频输入接口：≥4路DVI-I输入和 2路HDMI输入。视频输出接口：≥4路DVI-I显示输出，可扩充至8路显示输出。</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 xml:space="preserve">7、音频接口：≥12路麦克风输入，自带48V幻象电源；≥6路立体声线路输入；≥4路远程解码音频输入；≥8路平衡音频输出。提供CNAS出具的检测报告证明材料。 </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8、可配置Dante数字音频：内置2*2Dante模块，≥2路数字音频输入输出。</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9、音频处理：支持回声消除，反馈消除，环境噪声抑制，自动增益等功能；麦克风变声证人保护等音效处理。提供CNAS出具的检测报告证明材料。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10、控制接口：≥4路红外发射接口、≥1路红外学习接口；≥4路RS232串口；≥1路RS485、≥4路I/O接口；≥2路USB接口，可USB外置光驱进行音视频实时庭审刻录，键盘鼠标操作GUI管理界面，U盘文件下载。</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11、编解算法：支持H.265编码。提供CNAS出具的检测报告证明材料。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12、音视频编解：≥10路音视频编码，每路支持双流；≥4路音视频解码；支持字幕、LOGO叠加，支持图像马赛克证人保护处理，支持图像画面移动检测实现自动视频切换。</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13、画面合成：≥2路画面合成；≥23种合成模式，2/4/6/8等；≥12种特效切换,擦除/收缩/淡入淡出等；合成分辨率≥4K且可设置。</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14、远程提讯功能：远程互动支持H.323、SIP、RTSP、RTMP协议，实现设备与设备、设备与手机、设备与市场主流视频会议终端和MCU之间一键交互。提供CNAS出具的检测报告证明材料。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15、内置4点MCU，支持联系人通信录、一键呼叫/挂断、群呼等会议管理。提供CNAS出具的检测报告证明材料。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16、存储：内置2T硬盘，可扩展至8T；≥10路音视频实时存储；支持FTP手动/定时/结束自动上传模式；支持手动/定时预约/开机录制；支持网络直播/点播/文件查看、下载、删除等管理；支持多任务分时分录；支持硬盘文件本地视频输出端口直接回放。视频文件存储格式为MP4。</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17、支持TCP/UDP/RTSP/RTP/RTMP/ONVIF/H.323/SIP/HTTP等协议。</w:t>
            </w:r>
          </w:p>
          <w:p>
            <w:pPr>
              <w:kinsoku/>
              <w:autoSpaceDE/>
              <w:autoSpaceDN/>
              <w:adjustRightInd/>
              <w:snapToGrid/>
              <w:textAlignment w:val="center"/>
              <w:rPr>
                <w:rFonts w:hint="eastAsia" w:ascii="宋体" w:hAnsi="宋体" w:eastAsia="宋体" w:cs="宋体"/>
                <w:snapToGrid/>
                <w:sz w:val="20"/>
                <w:szCs w:val="20"/>
                <w:lang w:eastAsia="zh-CN" w:bidi="ar"/>
              </w:rPr>
            </w:pP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二、嵌入式录播控制软件</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1、采用嵌入式架构，内嵌于高清庭审主机中，集控界面集视预览，视频切换，云台控制，可编程中控，音频调节，直播/点播/录制等控制，互动拔号呼叫，系统管理等功能于一体；</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2、支持B/S、C/S、GUI、IOS、集控五种管理及控制方式；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3、支持可视化操控台可KVM方式切换至主机视频任一输出，键盘+鼠标即可直接对主机进行本地可视化管理；</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4、可视化视频切换：不少于8路高清视频的实时预览显示，支持视频通道拖拽式切换；</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5、音频控制：可实现对音频麦克风，功放，录制，远程终端等通道音频参数的调节，支持视频内嵌音频切换路由管理；</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6、中控界面可编程页面在线编辑，支持图片，文字，按键等编程应用，实现中控的集中控制管理；</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7、画面合成布局，支持本地画面，远程庭审、提讯终端画面合成布局，至少具备9种常用合成布局用户现场自定义布局；</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8、录播控制：导播.直播.点播.录制/暂停/停止管理.视频文件本地回放管理，回放的音视频文件可通过矩阵直接输出至显示设备.录像文件下载/FTP上传管理；</w:t>
            </w:r>
          </w:p>
          <w:p>
            <w:pPr>
              <w:kinsoku/>
              <w:autoSpaceDE/>
              <w:autoSpaceDN/>
              <w:adjustRightInd/>
              <w:snapToGrid/>
              <w:textAlignment w:val="center"/>
              <w:rPr>
                <w:rFonts w:hint="eastAsia" w:ascii="宋体" w:hAnsi="宋体" w:eastAsia="宋体" w:cs="宋体"/>
                <w:b/>
                <w:bCs/>
                <w:snapToGrid/>
                <w:kern w:val="2"/>
                <w:sz w:val="22"/>
                <w:szCs w:val="22"/>
                <w:lang w:eastAsia="zh-CN"/>
              </w:rPr>
            </w:pPr>
            <w:r>
              <w:rPr>
                <w:rFonts w:hint="eastAsia" w:ascii="宋体" w:hAnsi="宋体" w:eastAsia="宋体" w:cs="宋体"/>
                <w:snapToGrid/>
                <w:sz w:val="20"/>
                <w:szCs w:val="20"/>
                <w:lang w:eastAsia="zh-CN" w:bidi="ar"/>
              </w:rPr>
              <w:t>9、支持自动音激励，实现庭审现场画面自动切换；</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b/>
                <w:bCs/>
                <w:snapToGrid/>
                <w:kern w:val="2"/>
                <w:sz w:val="22"/>
                <w:szCs w:val="22"/>
                <w:lang w:eastAsia="zh-CN"/>
              </w:rPr>
            </w:pPr>
            <w:r>
              <w:rPr>
                <w:rFonts w:hint="eastAsia" w:ascii="宋体" w:hAnsi="宋体" w:eastAsia="宋体" w:cs="宋体"/>
                <w:snapToGrid/>
                <w:sz w:val="20"/>
                <w:szCs w:val="20"/>
                <w:lang w:eastAsia="zh-CN" w:bidi="ar"/>
              </w:rPr>
              <w:t>2</w:t>
            </w:r>
          </w:p>
        </w:tc>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b/>
                <w:bCs/>
                <w:snapToGrid/>
                <w:kern w:val="2"/>
                <w:sz w:val="22"/>
                <w:szCs w:val="22"/>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2429" w:hRule="atLeast"/>
          <w:jc w:val="center"/>
        </w:trPr>
        <w:tc>
          <w:tcPr>
            <w:tcW w:w="402" w:type="dxa"/>
            <w:tcBorders>
              <w:top w:val="single" w:color="auto"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2</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智慧庭审应用系统</w:t>
            </w:r>
          </w:p>
        </w:tc>
        <w:tc>
          <w:tcPr>
            <w:tcW w:w="7488"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与管理后台互联，支持对法庭庭前阶段、审理阶段审判员、当事人、书记员端应用系统功能支撑，当事人端人脸识别能力支撑。</w:t>
            </w:r>
          </w:p>
        </w:tc>
        <w:tc>
          <w:tcPr>
            <w:tcW w:w="6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6</w:t>
            </w:r>
          </w:p>
        </w:tc>
        <w:tc>
          <w:tcPr>
            <w:tcW w:w="54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6479"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3</w:t>
            </w:r>
          </w:p>
        </w:tc>
        <w:tc>
          <w:tcPr>
            <w:tcW w:w="586" w:type="dxa"/>
            <w:tcBorders>
              <w:top w:val="single" w:color="000000" w:sz="4" w:space="0"/>
              <w:left w:val="single" w:color="auto"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审判员、原被告电脑</w:t>
            </w:r>
          </w:p>
        </w:tc>
        <w:tc>
          <w:tcPr>
            <w:tcW w:w="7488"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1、处理器：国产飞腾D2000处理器，CPU 8核2.3GHZ；</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2、内存：8GB内存。支持单根内存容量最大32GB，总支持64GB容量；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3、硬盘：标配256GB NVMe SSD硬盘。最大支持1TB SSD+2TB 硬盘；</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4、显卡：独立显卡，显存2GB；</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5、网络接口：1个10/100/1000BaseT电口；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6、IO扩展：3个PCIe 3.0扩展槽位；支持Socket 3，E Key，type 2230；支持WIFI和蓝牙；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7、安全性：支持安装TPM/TCM模块；</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8、USB接口：配置3个USB2.0接口，4个USB3.0接口；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9、其他接口：1个VGA接口，1个HDMI接口，1个Audio音频接口，1个DB9串口；1个USB Type-A充电接口；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10、显示器：分辨率1920×1080，刷新率60Hz；尺寸27英寸；支持 VGA+HDMI输入；</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11、操作系统兼容性：支持国产操作系统UOS、银河麒麟等。</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12、产品特色：超级快充：主机支持华为40W超级快充，半小时充电70%+，无需快充插头。</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13、产品资质：具备3C、节能、国家环境认证（十环）证书；</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14、售后服务：硬件提供3年整机质保，1年上门服务，7×24小时电话响应支持；</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15、目录要求：硬件产品在《安可替代工程核心产品名录-1-2021》中；</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16、出厂带正版银河麒麟公安专版操作系统，支持接入公安网；</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17、出厂带正版流式软件、版式软件和杀毒软件；</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30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3638"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审判员、原被告软件</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1、可在庭中展示与本案高度相关的法律法规和案例辅助法官进行审判，将法律术语、法律条文进行注解展示，方便当事人理解法律条文；</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2、法官在查看电子卷宗时，可对卷宗进行扫描、上传、发起归档；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3、在庭审质证阶段，法官及当事人可在线查看证据材料并进行批注，法官可将证据批量推送给指定当事人进行查看，发起电子证据举证、质证流程。</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4、法官标注保存的图片，可以保存，并可以推送和取消推送；</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5、庭审信息展示，包含审庭审参与人、案件信息、卷宗信息综合展示，同时并展示庭审笔录内容；</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6、画面展示：可以一次开庭同时与多达三个远程提讯室视频互联，让远程提讯更能满足负责的应用场景。</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7、所有当事人完成笔录签字后，可查看当事人的笔录签字，生成的文件为 PDF 格式，每页下方都会显示签字人姓名</w:t>
            </w:r>
          </w:p>
        </w:tc>
        <w:tc>
          <w:tcPr>
            <w:tcW w:w="602" w:type="dxa"/>
            <w:tcBorders>
              <w:top w:val="single" w:color="000000" w:sz="4" w:space="0"/>
              <w:left w:val="single" w:color="auto"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w:t>
            </w:r>
          </w:p>
        </w:tc>
        <w:tc>
          <w:tcPr>
            <w:tcW w:w="542"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6056"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5</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书记员电脑</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1、处理器：国产飞腾D2000处理器，CPU 8核2.3GHZ；</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2、内存：8GB内存。支持单根内存容量最大32GB，总支持64GB容量；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3、硬盘：标配256GB NVMe SSD硬盘。最大支持1TB SSD+2TB 硬盘；</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4、显卡：独立显卡，显存2GB；</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5、网络接口：1个10/100/1000BaseT电口；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6、IO扩展：3个PCIe 3.0扩展槽位；支持Socket 3，E Key，type 2230；支持WIFI和蓝牙；</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7、安全性：支持安装TPM/TCM模块；</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8、USB接口：配置3个USB2.0接口，4个USB3.0接口；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9、其他接口：1个VGA接口，1个HDMI接口，1个Audio音频接口，1个DB9串口；1个USB Type-A充电接口；</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10、显示器：分辨率1920×1080，刷新率60Hz；尺寸27英寸；支持 VGA+HDMI输入；</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11、操作系统兼容性：支持国产操作系统UOS、银河麒麟等。</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12、产品特色：超级快充：主机支持华为40W超级快充，半小时充电70%+，无需快充插头。</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13、产品资质：具备3C、节能、国家环境认证（十环）证书；</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14、售后服务：硬件提供3年整机质保，1年上门服务，7×24小时电话响应支持；</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15、目录要求：硬件产品在《安可替代工程核心产品名录-1-2021》中；</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16、出厂带正版银河麒麟公安专版操作系统，支持接入公安网；</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17、出厂带正版流式软件、版式软件和杀毒软件；</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6</w:t>
            </w:r>
          </w:p>
        </w:tc>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台</w:t>
            </w:r>
          </w:p>
        </w:tc>
      </w:tr>
      <w:tr>
        <w:tblPrEx>
          <w:tblCellMar>
            <w:top w:w="0" w:type="dxa"/>
            <w:left w:w="108" w:type="dxa"/>
            <w:bottom w:w="0" w:type="dxa"/>
            <w:right w:w="108" w:type="dxa"/>
          </w:tblCellMar>
        </w:tblPrEx>
        <w:trPr>
          <w:trHeight w:val="4803" w:hRule="atLeast"/>
          <w:jc w:val="center"/>
        </w:trPr>
        <w:tc>
          <w:tcPr>
            <w:tcW w:w="4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6</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 xml:space="preserve"> 书记员应用软件</w:t>
            </w:r>
          </w:p>
        </w:tc>
        <w:tc>
          <w:tcPr>
            <w:tcW w:w="7488"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1、开庭自动展示法庭纪律，当事人权利义务，支持手动语音播放；</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2、庭审过程中，自动加载庭前预设的笔录内容；</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3、可通过与现有语音识别系统对接，利用语音识别技术，实现庭审语音转写功能；</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4、远程提讯可以查看远程主机 ip，可以对远程设备进行呼叫；</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5、可对庭审画面进行切换，可切换单画面、二画面、三画面、结束远程图像；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6、将原告、被告标注有异议的证据材料进行显示，点击某一证据材料查看详细标注信息，进行庭审笔录记录；</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7、庭审结束时发起笔录在线签字捺印，并进行确认；</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8、支持对庭审过程进行控制，包括开始庭审、结束庭审、休庭、闭庭，及远程审讯</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时画面遮挡、通道变声等操作；</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9、支持庭审视频及庭审状态实时监控；</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10、支持对庭审模式进行切换，包括本地庭审、远程提讯、三方庭审、互联网庭审</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等模式。</w:t>
            </w:r>
          </w:p>
        </w:tc>
        <w:tc>
          <w:tcPr>
            <w:tcW w:w="6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6</w:t>
            </w:r>
          </w:p>
        </w:tc>
        <w:tc>
          <w:tcPr>
            <w:tcW w:w="54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2567" w:hRule="atLeast"/>
          <w:jc w:val="center"/>
        </w:trPr>
        <w:tc>
          <w:tcPr>
            <w:tcW w:w="402" w:type="dxa"/>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7</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智能庭审终端及软件</w:t>
            </w:r>
          </w:p>
        </w:tc>
        <w:tc>
          <w:tcPr>
            <w:tcW w:w="7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一、智能庭审终端</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CPU:四核Cortex-A17， Android 7.1版本以上；内存 ：≥2GB DDR3，存储：≥16GB 最大可支持128GB，显示屏：10.1寸，1280*800，24位真彩色液晶手写触摸双控屏（电容屏和电磁屏）；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二、智能庭审终端软件</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嵌入到签批核验终端内，实时同步书记员软件上的庭审笔录内容，当书记员软件发起签字时可语音提示，同时支持捺印，签名即捺印生成在笔录指定位置。</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kern w:val="2"/>
                <w:sz w:val="20"/>
                <w:szCs w:val="20"/>
                <w:lang w:eastAsia="zh-CN"/>
              </w:rPr>
              <w:t>6</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1171" w:hRule="atLeast"/>
          <w:jc w:val="center"/>
        </w:trPr>
        <w:tc>
          <w:tcPr>
            <w:tcW w:w="402" w:type="dxa"/>
            <w:tcBorders>
              <w:top w:val="nil"/>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8</w:t>
            </w:r>
          </w:p>
        </w:tc>
        <w:tc>
          <w:tcPr>
            <w:tcW w:w="586"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高拍仪</w:t>
            </w:r>
          </w:p>
        </w:tc>
        <w:tc>
          <w:tcPr>
            <w:tcW w:w="7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CMOS传感器、≥1000万像素；</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分辨率：3672*2754</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扫描方式：支持PC软件触发、检测翻页自动扫描、定时扫描、外接脚踏键四种方式</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6</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台</w:t>
            </w:r>
          </w:p>
        </w:tc>
      </w:tr>
      <w:tr>
        <w:tblPrEx>
          <w:tblCellMar>
            <w:top w:w="0" w:type="dxa"/>
            <w:left w:w="108" w:type="dxa"/>
            <w:bottom w:w="0" w:type="dxa"/>
            <w:right w:w="108" w:type="dxa"/>
          </w:tblCellMar>
        </w:tblPrEx>
        <w:trPr>
          <w:trHeight w:val="1824"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9</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系统集成服务</w:t>
            </w:r>
          </w:p>
        </w:tc>
        <w:tc>
          <w:tcPr>
            <w:tcW w:w="7488" w:type="dxa"/>
            <w:tcBorders>
              <w:top w:val="single" w:color="000000" w:sz="4" w:space="0"/>
              <w:left w:val="single" w:color="auto"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本次设备安装调试及审判流程管理系统数据对接等服务。</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3335" w:hRule="atLeast"/>
          <w:jc w:val="center"/>
        </w:trPr>
        <w:tc>
          <w:tcPr>
            <w:tcW w:w="4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10</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互联网法庭云平台（外网）</w:t>
            </w:r>
          </w:p>
        </w:tc>
        <w:tc>
          <w:tcPr>
            <w:tcW w:w="7488"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具有用户及权限管理、互联网科技法庭的创建、案件排期管理、视频网关设备管理、互联庭审控制管理、当事人应用管理等；</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为互联网庭审应用提供统一的当事人移动端 APP 应用程序下载；</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具有人脸识别身份认证功能，用户通过认证方可登陆互联网虚拟法庭参加审；</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庭审参与人均可实时看到法官、书记员、另一方当事人的音视频画面；</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支持查询互联网庭审排期安排；</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支持显示当前的庭审基本信息、视频分割画面、庭审参与人员列表；</w:t>
            </w:r>
          </w:p>
        </w:tc>
        <w:tc>
          <w:tcPr>
            <w:tcW w:w="602"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套/1年</w:t>
            </w:r>
          </w:p>
        </w:tc>
      </w:tr>
      <w:tr>
        <w:tblPrEx>
          <w:tblCellMar>
            <w:top w:w="0" w:type="dxa"/>
            <w:left w:w="108" w:type="dxa"/>
            <w:bottom w:w="0" w:type="dxa"/>
            <w:right w:w="108" w:type="dxa"/>
          </w:tblCellMar>
        </w:tblPrEx>
        <w:trPr>
          <w:trHeight w:val="3033" w:hRule="atLeast"/>
          <w:jc w:val="center"/>
        </w:trPr>
        <w:tc>
          <w:tcPr>
            <w:tcW w:w="402" w:type="dxa"/>
            <w:tcBorders>
              <w:top w:val="nil"/>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11</w:t>
            </w:r>
          </w:p>
        </w:tc>
        <w:tc>
          <w:tcPr>
            <w:tcW w:w="586" w:type="dxa"/>
            <w:tcBorders>
              <w:top w:val="single" w:color="000000" w:sz="4" w:space="0"/>
              <w:left w:val="single" w:color="000000" w:sz="4" w:space="0"/>
              <w:bottom w:val="single" w:color="000000"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庭审云服务</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专为庭审音视频交互设计，用户提供超低延时多人音视频互动。</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丢包率高达 30% 的情况下，视频依旧保持不黑屏、不花屏；</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 xml:space="preserve">丢包率高达 80% 的情况下，音频依旧保持声连贯、语义可理解； </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视频支持 H.264 SVC编解码协议，能够适应不同线路带宽、不同设备能力网络环境的组需求；</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音频支持 G.711 、G.722 、OPUS 协议，支持 48K采样率的全带音频；</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通讯信令道支持SSL加密，媒体传输支持 AES256 加密；</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单一互联网法庭支持≥ 2路互联网端当事人音视频 接入；</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提供全球部署的音视频交互云服务；</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提供全年 7*24 小时云服务网上技术支持；</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utoSpaceDE/>
              <w:autoSpaceDN/>
              <w:adjustRightInd/>
              <w:snapToGrid/>
              <w:jc w:val="center"/>
              <w:textAlignment w:val="auto"/>
              <w:rPr>
                <w:rFonts w:hint="eastAsia" w:ascii="宋体" w:hAnsi="宋体" w:eastAsia="宋体" w:cs="宋体"/>
                <w:snapToGrid/>
                <w:kern w:val="2"/>
                <w:sz w:val="20"/>
                <w:szCs w:val="20"/>
                <w:lang w:eastAsia="zh-CN"/>
              </w:rPr>
            </w:pPr>
            <w:r>
              <w:rPr>
                <w:rFonts w:hint="eastAsia" w:ascii="宋体" w:hAnsi="宋体" w:eastAsia="宋体" w:cs="宋体"/>
                <w:snapToGrid/>
                <w:kern w:val="2"/>
                <w:sz w:val="20"/>
                <w:szCs w:val="20"/>
                <w:lang w:eastAsia="zh-CN"/>
              </w:rPr>
              <w:t>1</w:t>
            </w:r>
          </w:p>
        </w:tc>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kinsoku/>
              <w:autoSpaceDE/>
              <w:autoSpaceDN/>
              <w:adjustRightInd/>
              <w:snapToGrid/>
              <w:jc w:val="center"/>
              <w:textAlignment w:val="auto"/>
              <w:rPr>
                <w:rFonts w:hint="eastAsia" w:ascii="宋体" w:hAnsi="宋体" w:eastAsia="宋体" w:cs="宋体"/>
                <w:snapToGrid/>
                <w:kern w:val="2"/>
                <w:sz w:val="20"/>
                <w:szCs w:val="20"/>
                <w:lang w:eastAsia="zh-CN"/>
              </w:rPr>
            </w:pPr>
            <w:r>
              <w:rPr>
                <w:rFonts w:hint="eastAsia" w:ascii="宋体" w:hAnsi="宋体" w:eastAsia="宋体" w:cs="宋体"/>
                <w:snapToGrid/>
                <w:kern w:val="2"/>
                <w:sz w:val="20"/>
                <w:szCs w:val="20"/>
                <w:lang w:eastAsia="zh-CN"/>
              </w:rPr>
              <w:t>套</w:t>
            </w:r>
          </w:p>
        </w:tc>
      </w:tr>
      <w:tr>
        <w:tblPrEx>
          <w:tblCellMar>
            <w:top w:w="0" w:type="dxa"/>
            <w:left w:w="108" w:type="dxa"/>
            <w:bottom w:w="0" w:type="dxa"/>
            <w:right w:w="108" w:type="dxa"/>
          </w:tblCellMar>
        </w:tblPrEx>
        <w:trPr>
          <w:trHeight w:val="1824" w:hRule="atLeast"/>
          <w:jc w:val="center"/>
        </w:trPr>
        <w:tc>
          <w:tcPr>
            <w:tcW w:w="402" w:type="dxa"/>
            <w:tcBorders>
              <w:top w:val="nil"/>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12</w:t>
            </w:r>
          </w:p>
        </w:tc>
        <w:tc>
          <w:tcPr>
            <w:tcW w:w="586" w:type="dxa"/>
            <w:tcBorders>
              <w:top w:val="single" w:color="000000" w:sz="4" w:space="0"/>
              <w:left w:val="single" w:color="000000"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高清视频矩阵</w:t>
            </w:r>
          </w:p>
        </w:tc>
        <w:tc>
          <w:tcPr>
            <w:tcW w:w="7488"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8*8高清视频矩阵</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台</w:t>
            </w:r>
          </w:p>
        </w:tc>
      </w:tr>
      <w:tr>
        <w:tblPrEx>
          <w:tblCellMar>
            <w:top w:w="0" w:type="dxa"/>
            <w:left w:w="108" w:type="dxa"/>
            <w:bottom w:w="0" w:type="dxa"/>
            <w:right w:w="108" w:type="dxa"/>
          </w:tblCellMar>
        </w:tblPrEx>
        <w:trPr>
          <w:trHeight w:val="2126" w:hRule="atLeast"/>
          <w:jc w:val="center"/>
        </w:trPr>
        <w:tc>
          <w:tcPr>
            <w:tcW w:w="402"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13</w:t>
            </w:r>
          </w:p>
        </w:tc>
        <w:tc>
          <w:tcPr>
            <w:tcW w:w="586" w:type="dxa"/>
            <w:tcBorders>
              <w:top w:val="single" w:color="auto" w:sz="4" w:space="0"/>
              <w:left w:val="single" w:color="auto" w:sz="4" w:space="0"/>
              <w:bottom w:val="single" w:color="auto" w:sz="4" w:space="0"/>
              <w:right w:val="single" w:color="auto"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视频网关服务器</w:t>
            </w:r>
          </w:p>
        </w:tc>
        <w:tc>
          <w:tcPr>
            <w:tcW w:w="7488" w:type="dxa"/>
            <w:tcBorders>
              <w:top w:val="single" w:color="auto" w:sz="4" w:space="0"/>
              <w:left w:val="single" w:color="auto"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部署在法院外网 ，交互视频到互联网；</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1. 设备高度≤2U；</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2.≥ 四核处理器，≥8GB 内存；</w:t>
            </w:r>
          </w:p>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3. ≥2路高清音视频信号输入接口，支持2路高清视频编码；</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4.≥ 2路 HDMI高清视频信号输出接口，支持2路高清视频信号实时解码；</w:t>
            </w:r>
          </w:p>
        </w:tc>
        <w:tc>
          <w:tcPr>
            <w:tcW w:w="6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1824" w:hRule="atLeast"/>
          <w:jc w:val="center"/>
        </w:trPr>
        <w:tc>
          <w:tcPr>
            <w:tcW w:w="402"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14</w:t>
            </w:r>
          </w:p>
        </w:tc>
        <w:tc>
          <w:tcPr>
            <w:tcW w:w="586" w:type="dxa"/>
            <w:tcBorders>
              <w:top w:val="single" w:color="auto"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视频网关软件</w:t>
            </w:r>
          </w:p>
        </w:tc>
        <w:tc>
          <w:tcPr>
            <w:tcW w:w="7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sz w:val="20"/>
                <w:szCs w:val="20"/>
                <w:lang w:eastAsia="zh-CN" w:bidi="ar"/>
              </w:rPr>
            </w:pPr>
            <w:r>
              <w:rPr>
                <w:rFonts w:hint="eastAsia" w:ascii="宋体" w:hAnsi="宋体" w:eastAsia="宋体" w:cs="宋体"/>
                <w:snapToGrid/>
                <w:sz w:val="20"/>
                <w:szCs w:val="20"/>
                <w:lang w:eastAsia="zh-CN" w:bidi="ar"/>
              </w:rPr>
              <w:t>与音视频云系统实时数据通信，内嵌于视频网关中，完成互联网庭审音视频交互功能。</w:t>
            </w:r>
          </w:p>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具有计算机软件著作权登记证书及中国软件评测中心出具的软件测试报告。</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套</w:t>
            </w:r>
          </w:p>
        </w:tc>
      </w:tr>
      <w:tr>
        <w:tblPrEx>
          <w:tblCellMar>
            <w:top w:w="0" w:type="dxa"/>
            <w:left w:w="108" w:type="dxa"/>
            <w:bottom w:w="0" w:type="dxa"/>
            <w:right w:w="108" w:type="dxa"/>
          </w:tblCellMar>
        </w:tblPrEx>
        <w:trPr>
          <w:trHeight w:val="1229" w:hRule="atLeast"/>
          <w:jc w:val="center"/>
        </w:trPr>
        <w:tc>
          <w:tcPr>
            <w:tcW w:w="402" w:type="dxa"/>
            <w:tcBorders>
              <w:top w:val="nil"/>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15</w:t>
            </w:r>
          </w:p>
        </w:tc>
        <w:tc>
          <w:tcPr>
            <w:tcW w:w="586"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线缆辅材</w:t>
            </w:r>
          </w:p>
        </w:tc>
        <w:tc>
          <w:tcPr>
            <w:tcW w:w="7488" w:type="dxa"/>
            <w:tcBorders>
              <w:top w:val="single" w:color="000000" w:sz="4" w:space="0"/>
              <w:left w:val="single" w:color="000000" w:sz="4" w:space="0"/>
              <w:bottom w:val="single" w:color="auto" w:sz="4" w:space="0"/>
              <w:right w:val="single" w:color="000000" w:sz="4" w:space="0"/>
            </w:tcBorders>
            <w:shd w:val="clear" w:color="auto" w:fill="auto"/>
            <w:vAlign w:val="center"/>
          </w:tcPr>
          <w:p>
            <w:pPr>
              <w:kinsoku/>
              <w:autoSpaceDE/>
              <w:autoSpaceDN/>
              <w:adjustRightInd/>
              <w:snapToGrid/>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包含项目实施过程中所需满足施工要求与设备连接的各类数据传输线缆以及辅助材料。</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1</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insoku/>
              <w:autoSpaceDE/>
              <w:autoSpaceDN/>
              <w:adjustRightInd/>
              <w:snapToGrid/>
              <w:jc w:val="center"/>
              <w:textAlignment w:val="center"/>
              <w:rPr>
                <w:rFonts w:hint="eastAsia" w:ascii="宋体" w:hAnsi="宋体" w:eastAsia="宋体" w:cs="宋体"/>
                <w:snapToGrid/>
                <w:kern w:val="2"/>
                <w:sz w:val="20"/>
                <w:szCs w:val="20"/>
                <w:lang w:eastAsia="zh-CN"/>
              </w:rPr>
            </w:pPr>
            <w:r>
              <w:rPr>
                <w:rFonts w:hint="eastAsia" w:ascii="宋体" w:hAnsi="宋体" w:eastAsia="宋体" w:cs="宋体"/>
                <w:snapToGrid/>
                <w:sz w:val="20"/>
                <w:szCs w:val="20"/>
                <w:lang w:eastAsia="zh-CN" w:bidi="ar"/>
              </w:rPr>
              <w:t>项</w:t>
            </w:r>
          </w:p>
        </w:tc>
      </w:tr>
    </w:tbl>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pStyle w:val="9"/>
        <w:kinsoku/>
        <w:wordWrap w:val="0"/>
        <w:spacing w:line="360" w:lineRule="auto"/>
        <w:jc w:val="both"/>
        <w:outlineLvl w:val="2"/>
        <w:rPr>
          <w:rFonts w:hint="eastAsia"/>
          <w:snapToGrid/>
          <w:color w:val="auto"/>
          <w:spacing w:val="-1"/>
          <w:kern w:val="2"/>
          <w:sz w:val="24"/>
          <w:szCs w:val="24"/>
          <w:lang w:eastAsia="zh-CN"/>
        </w:rPr>
      </w:pP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6" w14:cap="flat" w14:cmpd="sng" w14:algn="ctr">
            <w14:solidFill>
              <w14:srgbClr w14:val="000000"/>
            </w14:solidFill>
            <w14:prstDash w14:val="solid"/>
            <w14:miter w14:val="0"/>
          </w14:textOutline>
        </w:rPr>
        <w:t>商务要求</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spacing w:val="-1"/>
          <w:kern w:val="2"/>
          <w:sz w:val="24"/>
          <w:szCs w:val="24"/>
          <w:lang w:eastAsia="zh-CN"/>
        </w:rPr>
        <w:t>1.交货时间：</w:t>
      </w:r>
      <w:r>
        <w:rPr>
          <w:rFonts w:hint="eastAsia" w:ascii="宋体" w:hAnsi="宋体" w:eastAsia="宋体" w:cs="宋体"/>
          <w:snapToGrid/>
          <w:kern w:val="2"/>
          <w:sz w:val="24"/>
          <w:szCs w:val="24"/>
          <w:lang w:eastAsia="zh-CN"/>
        </w:rPr>
        <w:t>合同签订之日起</w:t>
      </w:r>
      <w:r>
        <w:rPr>
          <w:rFonts w:hint="eastAsia" w:ascii="Calibri" w:hAnsi="Calibri" w:eastAsia="宋体" w:cs="宋体"/>
          <w:snapToGrid/>
          <w:kern w:val="2"/>
          <w:sz w:val="24"/>
          <w:szCs w:val="24"/>
          <w:lang w:eastAsia="zh-CN"/>
        </w:rPr>
        <w:t>15</w:t>
      </w:r>
      <w:r>
        <w:rPr>
          <w:rFonts w:hint="eastAsia" w:ascii="宋体" w:hAnsi="宋体" w:eastAsia="宋体" w:cs="宋体"/>
          <w:snapToGrid/>
          <w:kern w:val="2"/>
          <w:sz w:val="24"/>
          <w:szCs w:val="24"/>
          <w:lang w:eastAsia="zh-CN"/>
        </w:rPr>
        <w:t>日历天</w:t>
      </w:r>
    </w:p>
    <w:p>
      <w:pPr>
        <w:widowControl w:val="0"/>
        <w:kinsoku/>
        <w:wordWrap w:val="0"/>
        <w:autoSpaceDE/>
        <w:autoSpaceDN/>
        <w:adjustRightInd/>
        <w:snapToGrid/>
        <w:spacing w:after="120" w:line="360" w:lineRule="auto"/>
        <w:ind w:firstLine="476"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1"/>
          <w:kern w:val="2"/>
          <w:sz w:val="24"/>
          <w:szCs w:val="24"/>
          <w:lang w:eastAsia="zh-CN"/>
        </w:rPr>
        <w:t>交货地点</w:t>
      </w:r>
      <w:r>
        <w:rPr>
          <w:rFonts w:hint="eastAsia" w:ascii="宋体" w:hAnsi="宋体" w:eastAsia="宋体" w:cs="宋体"/>
          <w:snapToGrid/>
          <w:color w:val="auto"/>
          <w:spacing w:val="-2"/>
          <w:kern w:val="2"/>
          <w:sz w:val="24"/>
          <w:szCs w:val="24"/>
          <w:lang w:eastAsia="zh-CN"/>
        </w:rPr>
        <w:t>：南阳市卧龙区人民法院</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2.付款方式（应符合南阳市财政局关于印发《关于压缩各环节时间进一步优化政府采购营商环境的通知》（宛财购〔2022〕5号）的要求）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3.包装和运输（如适用，须满足《关于印发〈商品包装政府采购需求标准（试行）〉、〈快递包装政府采购需求标准（试行）〉的通知》（财办库﹝2020﹞123号）</w:t>
      </w:r>
    </w:p>
    <w:p>
      <w:pPr>
        <w:widowControl w:val="0"/>
        <w:kinsoku/>
        <w:wordWrap w:val="0"/>
        <w:autoSpaceDE/>
        <w:autoSpaceDN/>
        <w:adjustRightInd/>
        <w:snapToGrid/>
        <w:spacing w:after="120" w:line="360" w:lineRule="auto"/>
        <w:ind w:firstLine="448"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8"/>
          <w:kern w:val="2"/>
          <w:sz w:val="24"/>
          <w:szCs w:val="24"/>
          <w:lang w:eastAsia="zh-CN"/>
        </w:rPr>
        <w:t>4.质保期</w:t>
      </w:r>
      <w:r>
        <w:rPr>
          <w:rFonts w:hint="eastAsia" w:ascii="宋体" w:hAnsi="宋体" w:eastAsia="宋体" w:cs="宋体"/>
          <w:snapToGrid/>
          <w:color w:val="auto"/>
          <w:spacing w:val="-3"/>
          <w:kern w:val="2"/>
          <w:sz w:val="24"/>
          <w:szCs w:val="24"/>
          <w:lang w:eastAsia="zh-CN"/>
        </w:rPr>
        <w:t>：</w:t>
      </w:r>
      <w:r>
        <w:rPr>
          <w:rFonts w:hint="eastAsia" w:ascii="宋体" w:hAnsi="宋体" w:eastAsia="宋体" w:cs="宋体"/>
          <w:snapToGrid/>
          <w:kern w:val="2"/>
          <w:sz w:val="24"/>
          <w:szCs w:val="24"/>
          <w:lang w:eastAsia="zh-CN"/>
        </w:rPr>
        <w:t>硬件提供3年整机质保，1年上门服务，7×24小时电话响应支持；</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5"/>
          <w:kern w:val="2"/>
          <w:sz w:val="24"/>
          <w:szCs w:val="24"/>
          <w:lang w:eastAsia="zh-CN"/>
        </w:rPr>
      </w:pPr>
      <w:r>
        <w:rPr>
          <w:rFonts w:hint="eastAsia" w:ascii="宋体" w:hAnsi="宋体" w:eastAsia="宋体" w:cs="宋体"/>
          <w:snapToGrid/>
          <w:color w:val="auto"/>
          <w:spacing w:val="-2"/>
          <w:kern w:val="2"/>
          <w:sz w:val="24"/>
          <w:szCs w:val="24"/>
          <w:lang w:eastAsia="zh-CN"/>
        </w:rPr>
        <w:t>5.</w:t>
      </w:r>
      <w:r>
        <w:rPr>
          <w:rFonts w:hint="eastAsia" w:ascii="宋体" w:hAnsi="宋体" w:eastAsia="宋体" w:cs="宋体"/>
          <w:snapToGrid/>
          <w:color w:val="auto"/>
          <w:spacing w:val="-5"/>
          <w:kern w:val="2"/>
          <w:sz w:val="24"/>
          <w:szCs w:val="24"/>
          <w:lang w:eastAsia="zh-CN"/>
        </w:rPr>
        <w:t>关于强制节能产品的要求：</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 xml:space="preserve">5.1强制采购的节能产品:计算机、打印机、显示器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spacing w:val="-2"/>
          <w:kern w:val="2"/>
          <w:sz w:val="24"/>
          <w:szCs w:val="24"/>
          <w:lang w:eastAsia="zh-CN"/>
        </w:rPr>
      </w:pPr>
      <w:r>
        <w:rPr>
          <w:rFonts w:hint="eastAsia" w:ascii="宋体" w:hAnsi="宋体" w:eastAsia="宋体" w:cs="宋体"/>
          <w:snapToGrid/>
          <w:color w:val="auto"/>
          <w:spacing w:val="-2"/>
          <w:kern w:val="2"/>
          <w:sz w:val="24"/>
          <w:szCs w:val="24"/>
          <w:lang w:eastAsia="zh-CN"/>
        </w:rPr>
        <w:t>5.2投标人所投产品如属于政府优先节能产品或环境标志产品或无线局域网产品，应提供处于有效期之内认证证书等相关证明，在评标时予以优先采购。</w:t>
      </w:r>
    </w:p>
    <w:p>
      <w:pPr>
        <w:widowControl w:val="0"/>
        <w:kinsoku/>
        <w:wordWrap w:val="0"/>
        <w:autoSpaceDE/>
        <w:autoSpaceDN/>
        <w:adjustRightInd/>
        <w:snapToGrid/>
        <w:spacing w:after="120" w:line="360" w:lineRule="auto"/>
        <w:ind w:firstLine="472"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上述政策以国家发布最新为准，未尽事宜，按国家有关规定执行。</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6.验收标准及方式：</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6.1验收小组应由采购人、使用单位、受邀的第三方组成。</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6.2货物验收：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6.3安装验收：</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货物及组装材料验收合格后方可进行安装调试，安装调试应以达到采购人正常使用为标准。中标人向验收小组发出全面验收邀请。</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6.4中标人在要求期限内不能履行合同的，采购人有权终止合同，由此造成的经济损失及社会负面影响均有中标人承担，并依法报请南阳市政府采购监督管理部门处理。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7.□有样品，样品提供要求、方式、摆放时间及地点</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无样品。</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8. □有演示，演示要求、内容、方式及地点。鼓励使用不见面演示。</w:t>
      </w:r>
    </w:p>
    <w:p>
      <w:pPr>
        <w:widowControl w:val="0"/>
        <w:kinsoku/>
        <w:wordWrap w:val="0"/>
        <w:autoSpaceDE/>
        <w:autoSpaceDN/>
        <w:adjustRightInd/>
        <w:snapToGrid/>
        <w:spacing w:after="120"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ascii="Segoe UI Symbol" w:hAnsi="Segoe UI Symbol" w:eastAsia="宋体" w:cs="Segoe UI Symbol"/>
          <w:snapToGrid/>
          <w:color w:val="auto"/>
          <w:kern w:val="2"/>
          <w:sz w:val="24"/>
          <w:szCs w:val="24"/>
          <w:lang w:eastAsia="zh-CN"/>
        </w:rPr>
        <w:t>☑</w:t>
      </w:r>
      <w:r>
        <w:rPr>
          <w:rFonts w:hint="eastAsia" w:ascii="宋体" w:hAnsi="宋体" w:eastAsia="宋体" w:cs="宋体"/>
          <w:snapToGrid/>
          <w:color w:val="auto"/>
          <w:kern w:val="2"/>
          <w:sz w:val="24"/>
          <w:szCs w:val="24"/>
          <w:lang w:eastAsia="zh-CN"/>
        </w:rPr>
        <w:t>无演示。</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spacing w:val="-1"/>
          <w:kern w:val="2"/>
          <w:sz w:val="24"/>
          <w:szCs w:val="24"/>
          <w:lang w:eastAsia="zh-CN"/>
        </w:rPr>
      </w:pPr>
      <w:r>
        <w:rPr>
          <w:rFonts w:hint="eastAsia" w:ascii="宋体" w:hAnsi="宋体" w:eastAsia="宋体" w:cs="宋体"/>
          <w:snapToGrid/>
          <w:color w:val="auto"/>
          <w:kern w:val="2"/>
          <w:sz w:val="24"/>
          <w:szCs w:val="24"/>
          <w:lang w:eastAsia="zh-CN"/>
        </w:rPr>
        <w:t>10.</w:t>
      </w:r>
      <w:r>
        <w:rPr>
          <w:rFonts w:hint="eastAsia" w:ascii="宋体" w:hAnsi="宋体" w:eastAsia="宋体" w:cs="宋体"/>
          <w:snapToGrid/>
          <w:color w:val="auto"/>
          <w:spacing w:val="-1"/>
          <w:kern w:val="2"/>
          <w:sz w:val="24"/>
          <w:szCs w:val="24"/>
          <w:lang w:eastAsia="zh-CN"/>
        </w:rPr>
        <w:t>其他要求：中标人在供货安装调试过程中，如对采购人原设备、物品有损坏的应无偿恢复。</w:t>
      </w: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p>
      <w:pPr>
        <w:widowControl w:val="0"/>
        <w:kinsoku/>
        <w:autoSpaceDE/>
        <w:autoSpaceDN/>
        <w:adjustRightInd/>
        <w:snapToGrid/>
        <w:jc w:val="both"/>
        <w:textAlignment w:val="auto"/>
        <w:rPr>
          <w:rFonts w:ascii="Calibri" w:hAnsi="Calibri" w:eastAsia="宋体" w:cs="Times New Roman"/>
          <w:snapToGrid/>
          <w:color w:val="auto"/>
          <w:kern w:val="2"/>
          <w:szCs w:val="22"/>
          <w:lang w:eastAsia="zh-CN"/>
        </w:rPr>
      </w:pPr>
    </w:p>
    <w:bookmarkEnd w:id="3"/>
    <w:bookmarkEnd w:id="4"/>
    <w:bookmarkEnd w:id="5"/>
    <w:bookmarkEnd w:id="6"/>
    <w:bookmarkEnd w:id="7"/>
    <w:bookmarkEnd w:id="8"/>
    <w:p>
      <w:pPr>
        <w:pStyle w:val="9"/>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bookmarkStart w:id="12" w:name="_Toc25051"/>
      <w:bookmarkStart w:id="13" w:name="_Toc270604619"/>
      <w:bookmarkStart w:id="14" w:name="_Toc503213130"/>
    </w:p>
    <w:p>
      <w:pPr>
        <w:pStyle w:val="9"/>
        <w:kinsoku/>
        <w:wordWrap w:val="0"/>
        <w:spacing w:line="360" w:lineRule="auto"/>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11" w14:cap="flat" w14:cmpd="sng" w14:algn="ctr">
            <w14:solidFill>
              <w14:srgbClr w14:val="000000"/>
            </w14:solidFill>
            <w14:prstDash w14:val="solid"/>
            <w14:miter w14:val="0"/>
          </w14:textOutline>
        </w:rPr>
        <w:t>第三章 供应商须知</w:t>
      </w: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p>
    <w:p>
      <w:pPr>
        <w:pStyle w:val="9"/>
        <w:kinsoku/>
        <w:wordWrap w:val="0"/>
        <w:spacing w:line="220" w:lineRule="auto"/>
        <w:ind w:left="3861"/>
        <w:jc w:val="both"/>
        <w:rPr>
          <w:rFonts w:hint="eastAsia"/>
          <w:spacing w:val="-1"/>
          <w:sz w:val="28"/>
          <w:szCs w:val="28"/>
          <w:lang w:eastAsia="zh-CN"/>
          <w14:textOutline w14:w="1803" w14:cap="flat" w14:cmpd="sng" w14:algn="ctr">
            <w14:solidFill>
              <w14:srgbClr w14:val="000000"/>
            </w14:solidFill>
            <w14:prstDash w14:val="solid"/>
            <w14:miter w14:val="0"/>
          </w14:textOutline>
        </w:rPr>
      </w:pPr>
      <w:r>
        <w:rPr>
          <w:spacing w:val="-1"/>
          <w:sz w:val="28"/>
          <w:szCs w:val="28"/>
          <w:lang w:eastAsia="zh-CN"/>
          <w14:textOutline w14:w="1803" w14:cap="flat" w14:cmpd="sng" w14:algn="ctr">
            <w14:solidFill>
              <w14:srgbClr w14:val="000000"/>
            </w14:solidFill>
            <w14:prstDash w14:val="solid"/>
            <w14:miter w14:val="0"/>
          </w14:textOutline>
        </w:rPr>
        <w:t>供应商须知表</w:t>
      </w:r>
    </w:p>
    <w:tbl>
      <w:tblPr>
        <w:tblStyle w:val="23"/>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vAlign w:val="center"/>
          </w:tcPr>
          <w:p>
            <w:pPr>
              <w:kinsoku/>
              <w:wordWrap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kinsoku/>
              <w:wordWrap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p>
            <w:pPr>
              <w:pStyle w:val="39"/>
              <w:kinsoku/>
              <w:wordWrap w:val="0"/>
              <w:spacing w:before="25" w:line="207" w:lineRule="auto"/>
              <w:ind w:left="126"/>
              <w:jc w:val="both"/>
              <w:rPr>
                <w:rFonts w:hint="eastAsia" w:asciiTheme="minorEastAsia" w:hAnsiTheme="minorEastAsia" w:eastAsiaTheme="minorEastAsia" w:cstheme="minorEastAsia"/>
                <w:spacing w:val="19"/>
                <w:sz w:val="24"/>
                <w:szCs w:val="24"/>
                <w:lang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37" w:line="238" w:lineRule="auto"/>
              <w:ind w:left="1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是否属于科研仪器设备采购项目：</w:t>
            </w:r>
          </w:p>
          <w:p>
            <w:pPr>
              <w:pStyle w:val="39"/>
              <w:kinsoku/>
              <w:wordWrap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39"/>
              <w:kinsoku/>
              <w:wordWrap w:val="0"/>
              <w:spacing w:before="21" w:line="207"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jc w:val="both"/>
              <w:rPr>
                <w:rFonts w:hint="eastAsia" w:asciiTheme="minorEastAsia" w:hAnsiTheme="minorEastAsia" w:eastAsiaTheme="minorEastAsia" w:cstheme="minorEastAsia"/>
              </w:rPr>
            </w:pPr>
          </w:p>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☑不组织</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□组织，考察时间：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tcPr>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☑不召开</w:t>
            </w:r>
          </w:p>
          <w:p>
            <w:pPr>
              <w:pStyle w:val="39"/>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□召开，召开时间：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分</w:t>
            </w:r>
          </w:p>
          <w:p>
            <w:pPr>
              <w:kinsoku/>
              <w:wordWrap w:val="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vAlign w:val="center"/>
          </w:tcPr>
          <w:p>
            <w:pPr>
              <w:pStyle w:val="39"/>
              <w:numPr>
                <w:ilvl w:val="0"/>
                <w:numId w:val="2"/>
              </w:numPr>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本项目采购标的按照中小企业划分标准属于：</w:t>
            </w:r>
            <w:r>
              <w:rPr>
                <w:rFonts w:hint="eastAsia" w:asciiTheme="minorEastAsia" w:hAnsiTheme="minorEastAsia" w:eastAsiaTheme="minorEastAsia" w:cstheme="minorEastAsia"/>
                <w:spacing w:val="14"/>
                <w:sz w:val="24"/>
                <w:szCs w:val="24"/>
                <w:u w:val="single"/>
                <w:lang w:eastAsia="zh-CN"/>
              </w:rPr>
              <w:t>软件和信息技术服务业</w:t>
            </w:r>
            <w:r>
              <w:rPr>
                <w:rFonts w:hint="eastAsia" w:asciiTheme="minorEastAsia" w:hAnsiTheme="minorEastAsia" w:eastAsiaTheme="minorEastAsia" w:cstheme="minorEastAsia"/>
                <w:spacing w:val="29"/>
                <w:sz w:val="24"/>
                <w:szCs w:val="24"/>
                <w:u w:val="single"/>
                <w:lang w:eastAsia="zh-CN"/>
              </w:rPr>
              <w:t xml:space="preserve"> </w:t>
            </w:r>
          </w:p>
          <w:p>
            <w:pPr>
              <w:pStyle w:val="39"/>
              <w:kinsoku/>
              <w:wordWrap w:val="0"/>
              <w:jc w:val="both"/>
              <w:rPr>
                <w:rFonts w:hint="eastAsia" w:asciiTheme="minorEastAsia" w:hAnsiTheme="minorEastAsia" w:eastAsiaTheme="minorEastAsia" w:cstheme="minorEastAsia"/>
                <w:spacing w:val="29"/>
                <w:sz w:val="24"/>
                <w:szCs w:val="24"/>
                <w:u w:val="single"/>
                <w:lang w:eastAsia="zh-CN"/>
              </w:rPr>
            </w:pPr>
            <w:r>
              <w:rPr>
                <w:rFonts w:hint="eastAsia" w:asciiTheme="minorEastAsia" w:hAnsiTheme="minorEastAsia" w:eastAsiaTheme="minorEastAsia" w:cstheme="minorEastAsia"/>
                <w:spacing w:val="14"/>
                <w:sz w:val="24"/>
                <w:szCs w:val="24"/>
                <w:lang w:eastAsia="zh-CN"/>
              </w:rPr>
              <w:t>□本项目专门面向中小企业采购。</w:t>
            </w:r>
          </w:p>
          <w:p>
            <w:pPr>
              <w:kinsoku/>
              <w:wordWrap w:val="0"/>
              <w:autoSpaceDE/>
              <w:autoSpaceDN/>
              <w:adjustRightInd/>
              <w:snapToGrid/>
              <w:jc w:val="both"/>
              <w:textAlignment w:val="auto"/>
              <w:rPr>
                <w:rFonts w:hint="eastAsia" w:asciiTheme="minorEastAsia" w:hAnsiTheme="minorEastAsia" w:eastAsiaTheme="minorEastAsia" w:cstheme="minorEastAsia"/>
                <w:spacing w:val="14"/>
                <w:sz w:val="24"/>
                <w:szCs w:val="24"/>
                <w:lang w:eastAsia="zh-CN"/>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eastAsia="zh-CN"/>
              </w:rPr>
              <w:t>本项目小微企业价格折扣比例</w:t>
            </w:r>
            <w:r>
              <w:rPr>
                <w:rFonts w:hint="eastAsia" w:asciiTheme="minorEastAsia" w:hAnsiTheme="minorEastAsia" w:eastAsiaTheme="minorEastAsia" w:cstheme="minorEastAsia"/>
                <w:spacing w:val="29"/>
                <w:sz w:val="24"/>
                <w:szCs w:val="24"/>
                <w:u w:val="single"/>
                <w:lang w:eastAsia="zh-CN"/>
              </w:rPr>
              <w:t xml:space="preserve">10 </w:t>
            </w:r>
            <w:r>
              <w:rPr>
                <w:rFonts w:hint="eastAsia" w:asciiTheme="minorEastAsia" w:hAnsiTheme="minorEastAsia" w:eastAsiaTheme="minorEastAsia" w:cstheme="minorEastAsia"/>
                <w:spacing w:val="29"/>
                <w:sz w:val="24"/>
                <w:szCs w:val="24"/>
                <w:lang w:eastAsia="zh-CN"/>
              </w:rPr>
              <w:t>%。</w:t>
            </w:r>
          </w:p>
          <w:p>
            <w:pPr>
              <w:kinsoku/>
              <w:wordWrap w:val="0"/>
              <w:autoSpaceDE/>
              <w:autoSpaceDN/>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tcPr>
          <w:p>
            <w:pPr>
              <w:pStyle w:val="39"/>
              <w:kinsoku/>
              <w:wordWrap w:val="0"/>
              <w:spacing w:line="269" w:lineRule="auto"/>
              <w:jc w:val="both"/>
              <w:rPr>
                <w:rFonts w:hint="eastAsia" w:asciiTheme="minorEastAsia" w:hAnsiTheme="minorEastAsia" w:eastAsiaTheme="minorEastAsia" w:cstheme="minorEastAsia"/>
                <w:lang w:eastAsia="zh-CN"/>
              </w:rPr>
            </w:pPr>
          </w:p>
          <w:p>
            <w:pPr>
              <w:kinsoku/>
              <w:wordWrap w:val="0"/>
              <w:spacing w:before="78" w:line="219" w:lineRule="auto"/>
              <w:ind w:left="37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tcPr>
          <w:p>
            <w:pPr>
              <w:kinsoku/>
              <w:wordWrap w:val="0"/>
              <w:spacing w:before="40"/>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磋商报价的特殊规定：</w:t>
            </w:r>
          </w:p>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☑无</w:t>
            </w:r>
          </w:p>
          <w:p>
            <w:pPr>
              <w:pStyle w:val="39"/>
              <w:kinsoku/>
              <w:wordWrap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pPr>
              <w:pStyle w:val="39"/>
              <w:kinsoku/>
              <w:wordWrap w:val="0"/>
              <w:spacing w:line="19" w:lineRule="exact"/>
              <w:ind w:left="200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rPr>
              <w:t>第一标段：</w:t>
            </w:r>
            <w:r>
              <w:rPr>
                <w:rFonts w:hint="eastAsia" w:asciiTheme="minorEastAsia" w:hAnsiTheme="minorEastAsia" w:eastAsiaTheme="minorEastAsia" w:cstheme="minorEastAsia"/>
                <w:spacing w:val="-12"/>
                <w:sz w:val="24"/>
                <w:szCs w:val="24"/>
                <w:u w:val="single"/>
                <w:lang w:eastAsia="zh-CN"/>
              </w:rPr>
              <w:t>74.48</w:t>
            </w:r>
            <w:r>
              <w:rPr>
                <w:rFonts w:hint="eastAsia" w:asciiTheme="minorEastAsia" w:hAnsiTheme="minorEastAsia" w:eastAsiaTheme="minorEastAsia" w:cstheme="minorEastAsia"/>
                <w:bCs/>
                <w:sz w:val="24"/>
                <w:szCs w:val="24"/>
                <w:lang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开标之日起60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eastAsia="zh-CN"/>
              </w:rPr>
              <w:t xml:space="preserve">  2024 </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4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eastAsia="zh-CN"/>
              </w:rPr>
              <w:t xml:space="preserve"> 2024</w:t>
            </w:r>
            <w:r>
              <w:rPr>
                <w:rFonts w:hint="eastAsia" w:asciiTheme="minorEastAsia" w:hAnsiTheme="minorEastAsia" w:eastAsiaTheme="minorEastAsia" w:cstheme="minorEastAsia"/>
                <w:spacing w:val="-12"/>
                <w:sz w:val="24"/>
                <w:szCs w:val="24"/>
                <w:lang w:eastAsia="zh-CN"/>
              </w:rPr>
              <w:t>年</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9</w:t>
            </w:r>
            <w:r>
              <w:rPr>
                <w:rFonts w:hint="eastAsia" w:asciiTheme="minorEastAsia" w:hAnsiTheme="minorEastAsia" w:eastAsiaTheme="minorEastAsia" w:cstheme="minorEastAsia"/>
                <w:spacing w:val="-12"/>
                <w:sz w:val="24"/>
                <w:szCs w:val="24"/>
                <w:lang w:eastAsia="zh-CN"/>
              </w:rPr>
              <w:t>月</w:t>
            </w:r>
            <w:r>
              <w:rPr>
                <w:rFonts w:hint="eastAsia" w:asciiTheme="minorEastAsia" w:hAnsiTheme="minorEastAsia" w:eastAsiaTheme="minorEastAsia" w:cstheme="minorEastAsia"/>
                <w:spacing w:val="-12"/>
                <w:sz w:val="24"/>
                <w:szCs w:val="24"/>
                <w:u w:val="single"/>
                <w:lang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4 </w:t>
            </w:r>
            <w:r>
              <w:rPr>
                <w:rFonts w:hint="eastAsia" w:asciiTheme="minorEastAsia" w:hAnsiTheme="minorEastAsia" w:eastAsiaTheme="minorEastAsia" w:cstheme="minorEastAsia"/>
                <w:spacing w:val="-12"/>
                <w:sz w:val="24"/>
                <w:szCs w:val="24"/>
                <w:lang w:eastAsia="zh-CN"/>
              </w:rPr>
              <w:t>日</w:t>
            </w:r>
            <w:r>
              <w:rPr>
                <w:rFonts w:hint="eastAsia" w:asciiTheme="minorEastAsia" w:hAnsiTheme="minorEastAsia" w:eastAsiaTheme="minorEastAsia" w:cstheme="minorEastAsia"/>
                <w:spacing w:val="-12"/>
                <w:sz w:val="24"/>
                <w:szCs w:val="24"/>
                <w:u w:val="single"/>
                <w:lang w:eastAsia="zh-CN"/>
              </w:rPr>
              <w:t xml:space="preserve"> 09 </w:t>
            </w:r>
            <w:r>
              <w:rPr>
                <w:rFonts w:hint="eastAsia" w:asciiTheme="minorEastAsia" w:hAnsiTheme="minorEastAsia" w:eastAsiaTheme="minorEastAsia" w:cstheme="minorEastAsia"/>
                <w:spacing w:val="-12"/>
                <w:sz w:val="24"/>
                <w:szCs w:val="24"/>
                <w:lang w:eastAsia="zh-CN"/>
              </w:rPr>
              <w:t>点</w:t>
            </w:r>
            <w:r>
              <w:rPr>
                <w:rFonts w:hint="eastAsia" w:asciiTheme="minorEastAsia" w:hAnsiTheme="minorEastAsia" w:eastAsiaTheme="minorEastAsia" w:cstheme="minorEastAsia"/>
                <w:spacing w:val="-12"/>
                <w:sz w:val="24"/>
                <w:szCs w:val="24"/>
                <w:u w:val="single"/>
                <w:lang w:eastAsia="zh-CN"/>
              </w:rPr>
              <w:t xml:space="preserve"> 00 </w:t>
            </w:r>
            <w:r>
              <w:rPr>
                <w:rFonts w:hint="eastAsia" w:asciiTheme="minorEastAsia" w:hAnsiTheme="minorEastAsia" w:eastAsiaTheme="minorEastAsia" w:cstheme="minorEastAsia"/>
                <w:spacing w:val="-12"/>
                <w:sz w:val="24"/>
                <w:szCs w:val="24"/>
                <w:lang w:eastAsia="zh-CN"/>
              </w:rPr>
              <w:t>分</w:t>
            </w:r>
            <w:r>
              <w:rPr>
                <w:rFonts w:hint="eastAsia" w:asciiTheme="minorEastAsia" w:hAnsiTheme="minorEastAsia" w:eastAsiaTheme="minorEastAsia" w:cstheme="minorEastAsia"/>
                <w:spacing w:val="14"/>
                <w:sz w:val="24"/>
                <w:szCs w:val="24"/>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24" w:hRule="atLeast"/>
          <w:jc w:val="center"/>
        </w:trPr>
        <w:tc>
          <w:tcPr>
            <w:tcW w:w="1582" w:type="dxa"/>
            <w:tcBorders>
              <w:top w:val="single" w:color="auto" w:sz="6" w:space="0"/>
              <w:left w:val="single" w:color="auto" w:sz="12" w:space="0"/>
              <w:bottom w:val="single" w:color="auto" w:sz="6"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vAlign w:val="center"/>
          </w:tcPr>
          <w:p>
            <w:pPr>
              <w:kinsoku/>
              <w:wordWrap w:val="0"/>
              <w:spacing w:line="240" w:lineRule="atLeast"/>
              <w:jc w:val="both"/>
              <w:rPr>
                <w:lang w:eastAsia="zh-CN"/>
              </w:rPr>
            </w:pPr>
            <w:r>
              <w:rPr>
                <w:rFonts w:hint="eastAsia" w:asciiTheme="minorEastAsia" w:hAnsiTheme="minorEastAsia" w:eastAsiaTheme="minorEastAsia" w:cstheme="minorEastAsia"/>
                <w:sz w:val="24"/>
                <w:szCs w:val="24"/>
                <w:lang w:eastAsia="zh-CN"/>
              </w:rPr>
              <w:t>采购人是否委托磋商小组直接确定成交人：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 xml:space="preserve">☑否            </w:t>
            </w:r>
            <w:r>
              <w:rPr>
                <w:rFonts w:hint="eastAsia" w:asciiTheme="minorEastAsia" w:hAnsiTheme="minorEastAsia" w:eastAsiaTheme="minorEastAsia" w:cstheme="minorEastAsia"/>
                <w:sz w:val="24"/>
                <w:szCs w:val="24"/>
                <w:lang w:eastAsia="zh-CN"/>
              </w:rPr>
              <w:t>推荐的中标候选人数：3名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代理费</w:t>
            </w:r>
          </w:p>
        </w:tc>
        <w:tc>
          <w:tcPr>
            <w:tcW w:w="7305" w:type="dxa"/>
            <w:tcBorders>
              <w:top w:val="single" w:color="auto" w:sz="6" w:space="0"/>
              <w:left w:val="single" w:color="auto" w:sz="6" w:space="0"/>
              <w:bottom w:val="single" w:color="auto" w:sz="12" w:space="0"/>
              <w:right w:val="single" w:color="auto" w:sz="12" w:space="0"/>
            </w:tcBorders>
            <w:vAlign w:val="center"/>
          </w:tcPr>
          <w:p>
            <w:pPr>
              <w:pStyle w:val="39"/>
              <w:kinsoku/>
              <w:wordWrap w:val="0"/>
              <w:spacing w:before="1" w:line="220" w:lineRule="auto"/>
              <w:ind w:left="12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eastAsia="zh-CN"/>
              </w:rPr>
              <w:t>集中采购机构不收费</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z w:val="24"/>
                <w:szCs w:val="24"/>
                <w:lang w:eastAsia="zh-CN"/>
              </w:rPr>
              <w:t>收费对象：</w:t>
            </w:r>
            <w:r>
              <w:rPr>
                <w:rFonts w:hint="eastAsia" w:asciiTheme="minorEastAsia" w:hAnsiTheme="minorEastAsia" w:eastAsiaTheme="minorEastAsia" w:cstheme="minorEastAsia"/>
                <w:spacing w:val="29"/>
                <w:sz w:val="24"/>
                <w:szCs w:val="24"/>
                <w:lang w:eastAsia="zh-CN"/>
              </w:rPr>
              <w:t>□采购人</w:t>
            </w:r>
            <w:r>
              <w:rPr>
                <w:rFonts w:hint="eastAsia" w:asciiTheme="minorEastAsia" w:hAnsiTheme="minorEastAsia" w:eastAsiaTheme="minorEastAsia" w:cstheme="minorEastAsia"/>
                <w:spacing w:val="-13"/>
                <w:sz w:val="24"/>
                <w:szCs w:val="24"/>
                <w:lang w:eastAsia="zh-CN"/>
              </w:rPr>
              <w:t>☑中标人</w:t>
            </w:r>
          </w:p>
          <w:p>
            <w:pPr>
              <w:pStyle w:val="39"/>
              <w:kinsoku/>
              <w:wordWrap w:val="0"/>
              <w:spacing w:before="1" w:line="220" w:lineRule="auto"/>
              <w:ind w:left="126"/>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收费标准：依据《河南省招标代理服务收费指导意见》豫招协〔2023〕002号文规定收</w:t>
            </w:r>
            <w:r>
              <w:rPr>
                <w:rFonts w:hint="eastAsia" w:ascii="宋体" w:hAnsi="宋体" w:eastAsia="宋体" w:cs="宋体"/>
                <w:spacing w:val="-13"/>
                <w:sz w:val="24"/>
                <w:szCs w:val="24"/>
                <w:lang w:eastAsia="zh-CN"/>
              </w:rPr>
              <w:t>取。</w:t>
            </w:r>
          </w:p>
        </w:tc>
      </w:tr>
    </w:tbl>
    <w:p>
      <w:pPr>
        <w:kinsoku/>
        <w:wordWrap w:val="0"/>
        <w:spacing w:line="371" w:lineRule="auto"/>
        <w:jc w:val="both"/>
        <w:rPr>
          <w:lang w:eastAsia="zh-CN"/>
        </w:rPr>
      </w:pPr>
    </w:p>
    <w:p>
      <w:pPr>
        <w:kinsoku/>
        <w:wordWrap w:val="0"/>
        <w:spacing w:line="243" w:lineRule="auto"/>
        <w:jc w:val="both"/>
        <w:rPr>
          <w:lang w:eastAsia="zh-CN"/>
        </w:rPr>
      </w:pPr>
    </w:p>
    <w:p>
      <w:pPr>
        <w:kinsoku/>
        <w:wordWrap w:val="0"/>
        <w:spacing w:line="244" w:lineRule="auto"/>
        <w:jc w:val="both"/>
        <w:rPr>
          <w:lang w:eastAsia="zh-CN"/>
        </w:rPr>
      </w:pPr>
    </w:p>
    <w:p>
      <w:pPr>
        <w:pStyle w:val="9"/>
        <w:kinsoku/>
        <w:wordWrap w:val="0"/>
        <w:spacing w:before="91" w:line="360" w:lineRule="auto"/>
        <w:ind w:left="3844"/>
        <w:jc w:val="both"/>
        <w:rPr>
          <w:rFonts w:hint="eastAsia"/>
          <w:sz w:val="28"/>
          <w:szCs w:val="28"/>
          <w:lang w:eastAsia="zh-CN"/>
        </w:rPr>
      </w:pPr>
      <w:r>
        <w:rPr>
          <w:spacing w:val="-1"/>
          <w:sz w:val="28"/>
          <w:szCs w:val="28"/>
          <w:lang w:eastAsia="zh-CN"/>
          <w14:textOutline w14:w="1803" w14:cap="flat" w14:cmpd="sng" w14:algn="ctr">
            <w14:solidFill>
              <w14:srgbClr w14:val="000000"/>
            </w14:solidFill>
            <w14:prstDash w14:val="solid"/>
            <w14:miter w14:val="0"/>
          </w14:textOutline>
        </w:rPr>
        <w:t>供应商须知</w:t>
      </w:r>
    </w:p>
    <w:p>
      <w:pPr>
        <w:pStyle w:val="9"/>
        <w:kinsoku/>
        <w:wordWrap w:val="0"/>
        <w:spacing w:before="270" w:line="360" w:lineRule="auto"/>
        <w:jc w:val="both"/>
        <w:rPr>
          <w:rFonts w:hint="eastAsia" w:asciiTheme="minorEastAsia" w:hAnsiTheme="minorEastAsia" w:eastAsiaTheme="minorEastAsia" w:cstheme="minorEastAsia"/>
          <w:spacing w:val="-1"/>
          <w:sz w:val="24"/>
          <w:szCs w:val="24"/>
          <w:lang w:eastAsia="zh-CN"/>
        </w:rPr>
      </w:pPr>
      <w:r>
        <w:rPr>
          <w:spacing w:val="-10"/>
          <w:sz w:val="28"/>
          <w:szCs w:val="28"/>
          <w:lang w:eastAsia="zh-CN"/>
          <w14:textOutline w14:w="1803" w14:cap="flat" w14:cmpd="sng" w14:algn="ctr">
            <w14:solidFill>
              <w14:srgbClr w14:val="000000"/>
            </w14:solidFill>
            <w14:prstDash w14:val="solid"/>
            <w14:miter w14:val="0"/>
          </w14:textOutline>
        </w:rPr>
        <w:t>一</w:t>
      </w:r>
      <w:r>
        <w:rPr>
          <w:rFonts w:hint="eastAsia"/>
          <w:spacing w:val="5"/>
          <w:sz w:val="28"/>
          <w:szCs w:val="28"/>
          <w:lang w:eastAsia="zh-CN"/>
        </w:rPr>
        <w:t>、</w:t>
      </w:r>
      <w:r>
        <w:rPr>
          <w:spacing w:val="-10"/>
          <w:sz w:val="28"/>
          <w:szCs w:val="28"/>
          <w:lang w:eastAsia="zh-CN"/>
          <w14:textOutline w14:w="1803" w14:cap="flat" w14:cmpd="sng" w14:algn="ctr">
            <w14:solidFill>
              <w14:srgbClr w14:val="000000"/>
            </w14:solidFill>
            <w14:prstDash w14:val="solid"/>
            <w14:miter w14:val="0"/>
          </w14:textOutline>
        </w:rPr>
        <w:t>说明</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sz w:val="24"/>
          <w:szCs w:val="24"/>
          <w:lang w:eastAsia="zh-CN"/>
        </w:rPr>
        <w:t>1.采购人、采购代理机构、</w:t>
      </w:r>
      <w:r>
        <w:rPr>
          <w:rFonts w:hint="eastAsia" w:asciiTheme="minorEastAsia" w:hAnsiTheme="minorEastAsia" w:eastAsiaTheme="minorEastAsia" w:cstheme="minorEastAsia"/>
          <w:b/>
          <w:bCs/>
          <w:spacing w:val="-4"/>
          <w:sz w:val="24"/>
          <w:szCs w:val="24"/>
          <w:lang w:eastAsia="zh-CN"/>
        </w:rPr>
        <w:t>供应商</w:t>
      </w:r>
      <w:r>
        <w:rPr>
          <w:rFonts w:hint="eastAsia" w:asciiTheme="minorEastAsia" w:hAnsiTheme="minorEastAsia" w:eastAsiaTheme="minorEastAsia" w:cstheme="minorEastAsia"/>
          <w:b/>
          <w:bCs/>
          <w:spacing w:val="-1"/>
          <w:sz w:val="24"/>
          <w:szCs w:val="24"/>
          <w:lang w:eastAsia="zh-CN"/>
        </w:rPr>
        <w:t>、联合体</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1.1 采购人、采购代理机构：指依法进行政府采购的国家机关、事业单位、团体组织，及其委托的采购代理机构。本项目采购人、采购代理机构见第一章《竞争性磋商公告》。</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1.2 供应商（也称申请人）：指向采购人提供货物、工程或者服务的法人、其他组织或者自然人。</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1.3 联合体：指两个以上的自然人、法人或者其他组织组成一个联合体，以一个供应商的身份共同参加政府采购。</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2.资金来源、项目属性、科研仪器设备采购</w:t>
      </w:r>
    </w:p>
    <w:p>
      <w:pPr>
        <w:pStyle w:val="9"/>
        <w:kinsoku/>
        <w:wordWrap w:val="0"/>
        <w:spacing w:line="360" w:lineRule="auto"/>
        <w:ind w:firstLine="50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2.1 资金来源为财政性资金</w:t>
      </w:r>
      <w:r>
        <w:rPr>
          <w:rFonts w:hint="eastAsia" w:asciiTheme="minorEastAsia" w:hAnsiTheme="minorEastAsia" w:eastAsiaTheme="minorEastAsia" w:cstheme="minorEastAsia"/>
          <w:spacing w:val="7"/>
          <w:sz w:val="24"/>
          <w:szCs w:val="24"/>
          <w:u w:val="single"/>
          <w:lang w:eastAsia="zh-CN"/>
        </w:rPr>
        <w:t>74.48</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9"/>
          <w:sz w:val="24"/>
          <w:szCs w:val="24"/>
          <w:lang w:eastAsia="zh-CN"/>
        </w:rPr>
        <w:t>。</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2.2 项目属性见《供应商须知表》。</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2.3 是否属于科研仪器设备采购见《供应商须知表》。</w:t>
      </w:r>
    </w:p>
    <w:p>
      <w:pPr>
        <w:pStyle w:val="9"/>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3.现场考察、开标前答疑会</w:t>
      </w:r>
    </w:p>
    <w:p>
      <w:pPr>
        <w:pStyle w:val="9"/>
        <w:kinsoku/>
        <w:wordWrap w:val="0"/>
        <w:spacing w:line="360" w:lineRule="auto"/>
        <w:ind w:firstLine="49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3.1 若《供应商须知表》中规定了组</w:t>
      </w:r>
      <w:r>
        <w:rPr>
          <w:rFonts w:hint="eastAsia" w:asciiTheme="minorEastAsia" w:hAnsiTheme="minorEastAsia" w:eastAsiaTheme="minorEastAsia" w:cstheme="minorEastAsia"/>
          <w:spacing w:val="2"/>
          <w:sz w:val="24"/>
          <w:szCs w:val="24"/>
          <w:lang w:eastAsia="zh-CN"/>
        </w:rPr>
        <w:t>织现场考察、召开磋商前答疑会，则供应商</w:t>
      </w:r>
      <w:r>
        <w:rPr>
          <w:rFonts w:hint="eastAsia" w:asciiTheme="minorEastAsia" w:hAnsiTheme="minorEastAsia" w:eastAsiaTheme="minorEastAsia" w:cstheme="minorEastAsia"/>
          <w:spacing w:val="-3"/>
          <w:sz w:val="24"/>
          <w:szCs w:val="24"/>
          <w:lang w:eastAsia="zh-CN"/>
        </w:rPr>
        <w:t>应按要求在规定的时间和地点参加。</w:t>
      </w:r>
    </w:p>
    <w:p>
      <w:pPr>
        <w:pStyle w:val="9"/>
        <w:kinsoku/>
        <w:wordWrap w:val="0"/>
        <w:spacing w:line="360" w:lineRule="auto"/>
        <w:ind w:firstLine="488" w:firstLineChars="200"/>
        <w:jc w:val="both"/>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3.2 由于未参加现场考察或磋商前答疑会而导致对项目实际情况不了解，影响响应文件编制、磋商报价准确性、综合因素响应不全面等问题的，由供应商自行承担不利评审后果。</w:t>
      </w:r>
    </w:p>
    <w:p>
      <w:pPr>
        <w:pStyle w:val="9"/>
        <w:kinsoku/>
        <w:wordWrap w:val="0"/>
        <w:spacing w:line="360" w:lineRule="auto"/>
        <w:ind w:firstLine="478"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1"/>
          <w:position w:val="17"/>
          <w:sz w:val="24"/>
          <w:szCs w:val="24"/>
          <w:lang w:eastAsia="zh-CN"/>
        </w:rPr>
        <w:t>4.政府采购政策（包括但不限于下列具体政策要求）</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4.1 采购本国货物、工程和服务</w:t>
      </w:r>
    </w:p>
    <w:p>
      <w:pPr>
        <w:pStyle w:val="9"/>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4.1.1 政府采购应当采购本国货物、工程和服务。但有《中华人民共和国政府采购法》第十条规定情形的除外。</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4.1.2 本项目如接受非本国货</w:t>
      </w:r>
      <w:r>
        <w:rPr>
          <w:rFonts w:hint="eastAsia" w:asciiTheme="minorEastAsia" w:hAnsiTheme="minorEastAsia" w:eastAsiaTheme="minorEastAsia" w:cstheme="minorEastAsia"/>
          <w:spacing w:val="-5"/>
          <w:sz w:val="24"/>
          <w:szCs w:val="24"/>
          <w:lang w:eastAsia="zh-CN"/>
        </w:rPr>
        <w:t>物、工程、服务参与磋商，则具体要求见第二</w:t>
      </w:r>
      <w:r>
        <w:rPr>
          <w:rFonts w:hint="eastAsia" w:asciiTheme="minorEastAsia" w:hAnsiTheme="minorEastAsia" w:eastAsiaTheme="minorEastAsia" w:cstheme="minorEastAsia"/>
          <w:spacing w:val="-19"/>
          <w:sz w:val="24"/>
          <w:szCs w:val="24"/>
          <w:lang w:eastAsia="zh-CN"/>
        </w:rPr>
        <w:t>章《采购需求》。</w:t>
      </w:r>
    </w:p>
    <w:p>
      <w:pPr>
        <w:pStyle w:val="9"/>
        <w:kinsoku/>
        <w:wordWrap w:val="0"/>
        <w:spacing w:line="360" w:lineRule="auto"/>
        <w:ind w:firstLine="50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sz w:val="24"/>
          <w:szCs w:val="24"/>
          <w:lang w:eastAsia="zh-CN"/>
        </w:rPr>
        <w:t>4.1.3 进口产品指通过中国海关</w:t>
      </w:r>
      <w:r>
        <w:rPr>
          <w:rFonts w:hint="eastAsia" w:asciiTheme="minorEastAsia" w:hAnsiTheme="minorEastAsia" w:eastAsiaTheme="minorEastAsia" w:cstheme="minorEastAsia"/>
          <w:spacing w:val="5"/>
          <w:sz w:val="24"/>
          <w:szCs w:val="24"/>
          <w:lang w:eastAsia="zh-CN"/>
        </w:rPr>
        <w:t>报关验放进入中国境内且产自关境外的产</w:t>
      </w:r>
      <w:r>
        <w:rPr>
          <w:rFonts w:hint="eastAsia" w:asciiTheme="minorEastAsia" w:hAnsiTheme="minorEastAsia" w:eastAsiaTheme="minorEastAsia" w:cstheme="minorEastAsia"/>
          <w:spacing w:val="-5"/>
          <w:sz w:val="24"/>
          <w:szCs w:val="24"/>
          <w:lang w:eastAsia="zh-CN"/>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lang w:eastAsia="zh-CN"/>
        </w:rPr>
        <w:t>于政府采购进口产品管理有关问题的通知》（财办库〔</w:t>
      </w:r>
      <w:r>
        <w:rPr>
          <w:rFonts w:hint="eastAsia" w:asciiTheme="minorEastAsia" w:hAnsiTheme="minorEastAsia" w:eastAsiaTheme="minorEastAsia" w:cstheme="minorEastAsia"/>
          <w:spacing w:val="4"/>
          <w:sz w:val="24"/>
          <w:szCs w:val="24"/>
          <w:lang w:eastAsia="zh-CN"/>
        </w:rPr>
        <w:t>2008〕248</w:t>
      </w:r>
      <w:r>
        <w:rPr>
          <w:rFonts w:hint="eastAsia" w:asciiTheme="minorEastAsia" w:hAnsiTheme="minorEastAsia" w:eastAsiaTheme="minorEastAsia" w:cstheme="minorEastAsia"/>
          <w:spacing w:val="-38"/>
          <w:sz w:val="24"/>
          <w:szCs w:val="24"/>
          <w:lang w:eastAsia="zh-CN"/>
        </w:rPr>
        <w:t>号文）</w:t>
      </w:r>
      <w:r>
        <w:rPr>
          <w:rFonts w:hint="eastAsia" w:asciiTheme="minorEastAsia" w:hAnsiTheme="minorEastAsia" w:eastAsiaTheme="minorEastAsia" w:cstheme="minorEastAsia"/>
          <w:spacing w:val="5"/>
          <w:sz w:val="24"/>
          <w:szCs w:val="24"/>
          <w:lang w:eastAsia="zh-CN"/>
        </w:rPr>
        <w:t>以及南阳市财政局的具体规定。</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4.2 中小企业、监狱企业及残疾人福利性单位</w:t>
      </w:r>
    </w:p>
    <w:p>
      <w:pPr>
        <w:pStyle w:val="9"/>
        <w:kinsoku/>
        <w:wordWrap w:val="0"/>
        <w:spacing w:line="360" w:lineRule="auto"/>
        <w:ind w:firstLine="47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4.2.1 中小企业定义：</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"5.2.1.1" </w:instrText>
      </w:r>
      <w:r>
        <w:fldChar w:fldCharType="separate"/>
      </w:r>
      <w:r>
        <w:rPr>
          <w:rFonts w:hint="eastAsia" w:asciiTheme="minorEastAsia" w:hAnsiTheme="minorEastAsia" w:eastAsiaTheme="minorEastAsia" w:cstheme="minorEastAsia"/>
          <w:spacing w:val="-4"/>
          <w:sz w:val="24"/>
          <w:szCs w:val="24"/>
          <w:lang w:eastAsia="zh-CN"/>
        </w:rPr>
        <w:t>4.2.1.1</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"5.2.1.2" </w:instrText>
      </w:r>
      <w:r>
        <w:fldChar w:fldCharType="separate"/>
      </w:r>
      <w:r>
        <w:rPr>
          <w:rFonts w:hint="eastAsia" w:asciiTheme="minorEastAsia" w:hAnsiTheme="minorEastAsia" w:eastAsiaTheme="minorEastAsia" w:cstheme="minorEastAsia"/>
          <w:spacing w:val="-4"/>
          <w:sz w:val="24"/>
          <w:szCs w:val="24"/>
          <w:lang w:eastAsia="zh-CN"/>
        </w:rPr>
        <w:t>4.2.1.2</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供应商提供的货物、工程或者服务符合下列情形的，享受中小企业扶持政策：</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（1）在货物采购项目中，货物由中小企业制造，即货物由中小企业生产且使用该中小企业商号或者注册商标；</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（2）在工程采购项目中，工程由中小企业承建，即工程施工单位为中小企业；</w:t>
      </w:r>
    </w:p>
    <w:p>
      <w:pPr>
        <w:pStyle w:val="9"/>
        <w:kinsoku/>
        <w:wordWrap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（3）在服务采购项目中，服务由中小企业承接，即提供服务的人员为中小企业依照《中华人民共和国劳动合同法》订立劳动合同的从业人员。</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"5.2.1.3" </w:instrText>
      </w:r>
      <w:r>
        <w:fldChar w:fldCharType="separate"/>
      </w:r>
      <w:r>
        <w:rPr>
          <w:rFonts w:hint="eastAsia" w:asciiTheme="minorEastAsia" w:hAnsiTheme="minorEastAsia" w:eastAsiaTheme="minorEastAsia" w:cstheme="minorEastAsia"/>
          <w:spacing w:val="-4"/>
          <w:sz w:val="24"/>
          <w:szCs w:val="24"/>
          <w:lang w:eastAsia="zh-CN"/>
        </w:rPr>
        <w:t>4.2.1.3</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在货物采购项目中，供应商提供的货物既有中小企业制造货物，也有大型企业制造货物的，不享受中小企业扶持政策。</w:t>
      </w:r>
    </w:p>
    <w:p>
      <w:pPr>
        <w:pStyle w:val="9"/>
        <w:kinsoku/>
        <w:wordWrap w:val="0"/>
        <w:spacing w:line="360" w:lineRule="auto"/>
        <w:ind w:firstLine="620" w:firstLineChars="200"/>
        <w:jc w:val="both"/>
        <w:rPr>
          <w:rFonts w:hint="eastAsia" w:asciiTheme="minorEastAsia" w:hAnsiTheme="minorEastAsia" w:eastAsiaTheme="minorEastAsia" w:cstheme="minorEastAsia"/>
          <w:spacing w:val="-4"/>
          <w:sz w:val="24"/>
          <w:szCs w:val="24"/>
          <w:lang w:eastAsia="zh-CN"/>
        </w:rPr>
      </w:pPr>
      <w:r>
        <w:fldChar w:fldCharType="begin"/>
      </w:r>
      <w:r>
        <w:instrText xml:space="preserve"> HYPERLINK "5.2.1.4" </w:instrText>
      </w:r>
      <w:r>
        <w:fldChar w:fldCharType="separate"/>
      </w:r>
      <w:r>
        <w:rPr>
          <w:rFonts w:hint="eastAsia" w:asciiTheme="minorEastAsia" w:hAnsiTheme="minorEastAsia" w:eastAsiaTheme="minorEastAsia" w:cstheme="minorEastAsia"/>
          <w:spacing w:val="-4"/>
          <w:sz w:val="24"/>
          <w:szCs w:val="24"/>
          <w:lang w:eastAsia="zh-CN"/>
        </w:rPr>
        <w:t>4.2.1.4</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 xml:space="preserve"> 以联合体形式参加政府采购活动，联合体各方均为中小企业的，联合体视同中小企业。其中，联合体各方均为小微企业的，联合体视同小微企业。</w:t>
      </w:r>
    </w:p>
    <w:p>
      <w:pPr>
        <w:pStyle w:val="9"/>
        <w:kinsoku/>
        <w:wordWrap w:val="0"/>
        <w:spacing w:line="360" w:lineRule="auto"/>
        <w:ind w:firstLine="46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4.2.2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lang w:eastAsia="zh-CN"/>
        </w:rPr>
        <w:t>企业定义：是指由司法部认定的为罪犯、戒</w:t>
      </w:r>
      <w:r>
        <w:rPr>
          <w:rFonts w:hint="eastAsia" w:asciiTheme="minorEastAsia" w:hAnsiTheme="minorEastAsia" w:eastAsiaTheme="minorEastAsia" w:cstheme="minorEastAsia"/>
          <w:spacing w:val="-7"/>
          <w:sz w:val="24"/>
          <w:szCs w:val="24"/>
          <w:lang w:eastAsia="zh-CN"/>
        </w:rPr>
        <w:t>毒人员提供生产项目和劳</w:t>
      </w:r>
      <w:r>
        <w:rPr>
          <w:rFonts w:hint="eastAsia" w:asciiTheme="minorEastAsia" w:hAnsiTheme="minorEastAsia" w:eastAsiaTheme="minorEastAsia" w:cstheme="minorEastAsia"/>
          <w:spacing w:val="-8"/>
          <w:sz w:val="24"/>
          <w:szCs w:val="24"/>
          <w:lang w:eastAsia="zh-CN"/>
        </w:rPr>
        <w:t>动对象，且全部产权属于司法部监狱管理局、戒毒管理局、直属煤矿</w:t>
      </w:r>
      <w:r>
        <w:rPr>
          <w:rFonts w:hint="eastAsia" w:asciiTheme="minorEastAsia" w:hAnsiTheme="minorEastAsia" w:eastAsiaTheme="minorEastAsia" w:cstheme="minorEastAsia"/>
          <w:spacing w:val="-13"/>
          <w:sz w:val="24"/>
          <w:szCs w:val="24"/>
          <w:lang w:eastAsia="zh-CN"/>
        </w:rPr>
        <w:t>管理局，各省、自治区、直辖市监狱管理</w:t>
      </w:r>
      <w:r>
        <w:rPr>
          <w:rFonts w:hint="eastAsia" w:asciiTheme="minorEastAsia" w:hAnsiTheme="minorEastAsia" w:eastAsiaTheme="minorEastAsia" w:cstheme="minorEastAsia"/>
          <w:spacing w:val="-14"/>
          <w:sz w:val="24"/>
          <w:szCs w:val="24"/>
          <w:lang w:eastAsia="zh-CN"/>
        </w:rPr>
        <w:t>局、戒毒管理局，各地（设</w:t>
      </w:r>
      <w:r>
        <w:rPr>
          <w:rFonts w:hint="eastAsia" w:asciiTheme="minorEastAsia" w:hAnsiTheme="minorEastAsia" w:eastAsiaTheme="minorEastAsia" w:cstheme="minorEastAsia"/>
          <w:spacing w:val="-13"/>
          <w:sz w:val="24"/>
          <w:szCs w:val="24"/>
          <w:lang w:eastAsia="zh-CN"/>
        </w:rPr>
        <w:t>区的市）监狱、强制隔离戒毒所、戒毒康复所，以及新疆生产建设兵</w:t>
      </w:r>
      <w:r>
        <w:rPr>
          <w:rFonts w:hint="eastAsia" w:asciiTheme="minorEastAsia" w:hAnsiTheme="minorEastAsia" w:eastAsiaTheme="minorEastAsia" w:cstheme="minorEastAsia"/>
          <w:spacing w:val="-4"/>
          <w:sz w:val="24"/>
          <w:szCs w:val="24"/>
          <w:lang w:eastAsia="zh-CN"/>
        </w:rPr>
        <w:t>团监狱管理局、戒毒管理局的企业。</w:t>
      </w:r>
    </w:p>
    <w:p>
      <w:pPr>
        <w:pStyle w:val="9"/>
        <w:kinsoku/>
        <w:wordWrap w:val="0"/>
        <w:spacing w:line="360" w:lineRule="auto"/>
        <w:ind w:firstLine="44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4.2.3 在政府采购活动中，残疾人福利性单位视同小型、微型企业</w:t>
      </w:r>
      <w:r>
        <w:rPr>
          <w:rFonts w:hint="eastAsia" w:asciiTheme="minorEastAsia" w:hAnsiTheme="minorEastAsia" w:eastAsiaTheme="minorEastAsia" w:cstheme="minorEastAsia"/>
          <w:spacing w:val="-9"/>
          <w:sz w:val="24"/>
          <w:szCs w:val="24"/>
          <w:lang w:eastAsia="zh-CN"/>
        </w:rPr>
        <w:t>，享受预</w:t>
      </w:r>
      <w:r>
        <w:rPr>
          <w:rFonts w:hint="eastAsia" w:asciiTheme="minorEastAsia" w:hAnsiTheme="minorEastAsia" w:eastAsiaTheme="minorEastAsia" w:cstheme="minorEastAsia"/>
          <w:spacing w:val="-5"/>
          <w:sz w:val="24"/>
          <w:szCs w:val="24"/>
          <w:lang w:eastAsia="zh-CN"/>
        </w:rPr>
        <w:t>留份额、评审中价格扣除等促进中小企业发展的政府采购政策。残疾</w:t>
      </w:r>
      <w:r>
        <w:rPr>
          <w:rFonts w:hint="eastAsia" w:asciiTheme="minorEastAsia" w:hAnsiTheme="minorEastAsia" w:eastAsiaTheme="minorEastAsia" w:cstheme="minorEastAsia"/>
          <w:spacing w:val="-7"/>
          <w:sz w:val="24"/>
          <w:szCs w:val="24"/>
          <w:lang w:eastAsia="zh-CN"/>
        </w:rPr>
        <w:t>人福利性单位定义：享受政府采购支持政策的残疾人福利性单位应当</w:t>
      </w:r>
      <w:r>
        <w:rPr>
          <w:rFonts w:hint="eastAsia" w:asciiTheme="minorEastAsia" w:hAnsiTheme="minorEastAsia" w:eastAsiaTheme="minorEastAsia" w:cstheme="minorEastAsia"/>
          <w:spacing w:val="-9"/>
          <w:sz w:val="24"/>
          <w:szCs w:val="24"/>
          <w:lang w:eastAsia="zh-CN"/>
        </w:rPr>
        <w:t>同时满足以下条件：</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"5.2.3.1" </w:instrText>
      </w:r>
      <w:r>
        <w:fldChar w:fldCharType="separate"/>
      </w:r>
      <w:r>
        <w:rPr>
          <w:rFonts w:hint="eastAsia" w:asciiTheme="minorEastAsia" w:hAnsiTheme="minorEastAsia" w:eastAsiaTheme="minorEastAsia" w:cstheme="minorEastAsia"/>
          <w:spacing w:val="-8"/>
          <w:sz w:val="24"/>
          <w:szCs w:val="24"/>
          <w:lang w:eastAsia="zh-CN"/>
        </w:rPr>
        <w:t>4.2.3.1</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安置的残疾人占本单位在职职工人数的比例不低于25%（含25%），并且安置的残疾人人数不少于10人（含10人）；</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"5.2.3.2" </w:instrText>
      </w:r>
      <w:r>
        <w:fldChar w:fldCharType="separate"/>
      </w:r>
      <w:r>
        <w:rPr>
          <w:rFonts w:hint="eastAsia" w:asciiTheme="minorEastAsia" w:hAnsiTheme="minorEastAsia" w:eastAsiaTheme="minorEastAsia" w:cstheme="minorEastAsia"/>
          <w:spacing w:val="-8"/>
          <w:sz w:val="24"/>
          <w:szCs w:val="24"/>
          <w:lang w:eastAsia="zh-CN"/>
        </w:rPr>
        <w:t>4.2.3.2</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依法与安置的每位残疾人签订了一年以上（含一年）的劳动合同或服务协议；</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"5.2.3.3" </w:instrText>
      </w:r>
      <w:r>
        <w:fldChar w:fldCharType="separate"/>
      </w:r>
      <w:r>
        <w:rPr>
          <w:rFonts w:hint="eastAsia" w:asciiTheme="minorEastAsia" w:hAnsiTheme="minorEastAsia" w:eastAsiaTheme="minorEastAsia" w:cstheme="minorEastAsia"/>
          <w:spacing w:val="-8"/>
          <w:sz w:val="24"/>
          <w:szCs w:val="24"/>
          <w:lang w:eastAsia="zh-CN"/>
        </w:rPr>
        <w:t>4.2.3.3</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为安置的每位残疾人按月足额缴纳了基本养老、医疗、失业、工伤和生育等社会保险费；</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"5.2.3.4" </w:instrText>
      </w:r>
      <w:r>
        <w:fldChar w:fldCharType="separate"/>
      </w:r>
      <w:r>
        <w:rPr>
          <w:rFonts w:hint="eastAsia" w:asciiTheme="minorEastAsia" w:hAnsiTheme="minorEastAsia" w:eastAsiaTheme="minorEastAsia" w:cstheme="minorEastAsia"/>
          <w:spacing w:val="-8"/>
          <w:sz w:val="24"/>
          <w:szCs w:val="24"/>
          <w:lang w:eastAsia="zh-CN"/>
        </w:rPr>
        <w:t>4.2.3.4</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通过银行等金融机构向安置的每位残疾人，按月支付了不低于单位所在区县的月最低工资标准的工资；</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"5.2.3.5" </w:instrText>
      </w:r>
      <w:r>
        <w:fldChar w:fldCharType="separate"/>
      </w:r>
      <w:r>
        <w:rPr>
          <w:rFonts w:hint="eastAsia" w:asciiTheme="minorEastAsia" w:hAnsiTheme="minorEastAsia" w:eastAsiaTheme="minorEastAsia" w:cstheme="minorEastAsia"/>
          <w:spacing w:val="-8"/>
          <w:sz w:val="24"/>
          <w:szCs w:val="24"/>
          <w:lang w:eastAsia="zh-CN"/>
        </w:rPr>
        <w:t>4.2.3.5</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提供本单位制造的货物、承担的工程或者服务（以下简称产品），或者提供其他残疾人福利性单位制造的货物（不包括使用非残疾人福利性单位注册商标的货物）；</w:t>
      </w:r>
    </w:p>
    <w:p>
      <w:pPr>
        <w:pStyle w:val="9"/>
        <w:kinsoku/>
        <w:wordWrap w:val="0"/>
        <w:spacing w:line="360" w:lineRule="auto"/>
        <w:ind w:firstLine="620" w:firstLineChars="200"/>
        <w:jc w:val="both"/>
        <w:rPr>
          <w:rFonts w:hint="eastAsia" w:asciiTheme="minorEastAsia" w:hAnsiTheme="minorEastAsia" w:eastAsiaTheme="minorEastAsia" w:cstheme="minorEastAsia"/>
          <w:spacing w:val="-8"/>
          <w:sz w:val="24"/>
          <w:szCs w:val="24"/>
          <w:lang w:eastAsia="zh-CN"/>
        </w:rPr>
      </w:pPr>
      <w:r>
        <w:fldChar w:fldCharType="begin"/>
      </w:r>
      <w:r>
        <w:instrText xml:space="preserve"> HYPERLINK "5.2.3.6" </w:instrText>
      </w:r>
      <w:r>
        <w:fldChar w:fldCharType="separate"/>
      </w:r>
      <w:r>
        <w:rPr>
          <w:rFonts w:hint="eastAsia" w:asciiTheme="minorEastAsia" w:hAnsiTheme="minorEastAsia" w:eastAsiaTheme="minorEastAsia" w:cstheme="minorEastAsia"/>
          <w:spacing w:val="-8"/>
          <w:sz w:val="24"/>
          <w:szCs w:val="24"/>
          <w:lang w:eastAsia="zh-CN"/>
        </w:rPr>
        <w:t>4.2.3.6</w:t>
      </w:r>
      <w:r>
        <w:rPr>
          <w:rFonts w:hint="eastAsia"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 xml:space="preserve">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4.2.4 本项目是否专门面向中小企业预留采购份额见第一章《竞争性磋商公告》。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4.2.5 采购标的对应的中小企业划分标准所属行业见《供应商须知表》。</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4.2.6 小微企业价格评审优惠的政策调整：见第四章《评审程序、评审方法和评审标准》。</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 政府采购节能产品、环境标志产品</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4.3.1 政府采购节能产品、环境标志产品实施品目清单管理。财政部、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9"/>
        <w:kinsoku/>
        <w:wordWrap w:val="0"/>
        <w:spacing w:line="360" w:lineRule="auto"/>
        <w:ind w:firstLine="448"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spacing w:val="-8"/>
          <w:sz w:val="24"/>
          <w:szCs w:val="24"/>
          <w:lang w:eastAsia="zh-CN"/>
        </w:rPr>
        <w:t>4.3.3 如本项目采购产品属于实施政府强制采购品目清单范围的节能产品，则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8"/>
          <w:sz w:val="24"/>
          <w:szCs w:val="24"/>
          <w:lang w:eastAsia="zh-CN"/>
        </w:rPr>
        <w:t>所报产品必须获得国家确定的认证机构出具的、处于有效期之内的节能产品认证证书，</w:t>
      </w:r>
      <w:r>
        <w:rPr>
          <w:rFonts w:hint="eastAsia" w:asciiTheme="minorEastAsia" w:hAnsiTheme="minorEastAsia" w:eastAsiaTheme="minorEastAsia" w:cstheme="minorEastAsia"/>
          <w:b w:val="0"/>
          <w:bCs w:val="0"/>
          <w:spacing w:val="-8"/>
          <w:sz w:val="24"/>
          <w:szCs w:val="24"/>
          <w:lang w:eastAsia="zh-CN"/>
        </w:rPr>
        <w:t>否则响应无效；</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4.3.4 非政府强制采购的节能产品或环境标志产品，依据品目清单和认证证书实施政府优先采购。优先采购的具体规定见第四章《评审程序、评审方法和评审标准》。（如涉及）。</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 正版软件</w:t>
      </w:r>
    </w:p>
    <w:p>
      <w:pPr>
        <w:pStyle w:val="9"/>
        <w:kinsoku/>
        <w:wordWrap w:val="0"/>
        <w:spacing w:line="360" w:lineRule="auto"/>
        <w:ind w:firstLine="448" w:firstLineChars="200"/>
        <w:jc w:val="both"/>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4.4.1 依据《财政部、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rPr>
          <w:rFonts w:hint="eastAsia"/>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w:t>
      </w:r>
      <w:r>
        <w:fldChar w:fldCharType="begin"/>
      </w:r>
      <w:r>
        <w:rPr>
          <w:lang w:eastAsia="zh-CN"/>
        </w:rPr>
        <w:instrText xml:space="preserve">HYPERLINK "https://www.baidu.com/link?url=pV2gqlWQVIfLHb2GO1RMJVp24ETQ1a_TiqQ-2CHpcULsECvXubLhLHJTcTJbIedy&amp;wd=&amp;eqid=88c7d5f9006c2d6b0000000265780e74" \t "https://www.baidu.com/_blank"</w:instrText>
      </w:r>
      <w:r>
        <w:rPr>
          <w:rFonts w:hint="eastAsia"/>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lang w:eastAsia="zh-CN"/>
        </w:rPr>
        <w:fldChar w:fldCharType="end"/>
      </w:r>
      <w:r>
        <w:rPr>
          <w:rFonts w:hint="eastAsia" w:asciiTheme="minorEastAsia" w:hAnsiTheme="minorEastAsia" w:eastAsiaTheme="minorEastAsia" w:cstheme="minorEastAsia"/>
          <w:spacing w:val="-8"/>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asciiTheme="minorEastAsia" w:hAnsiTheme="minorEastAsia" w:eastAsiaTheme="minorEastAsia" w:cstheme="minorEastAsia"/>
          <w:spacing w:val="-8"/>
          <w:sz w:val="24"/>
          <w:szCs w:val="24"/>
        </w:rPr>
        <w:fldChar w:fldCharType="begin"/>
      </w:r>
      <w:r>
        <w:rPr>
          <w:rFonts w:asciiTheme="minorEastAsia" w:hAnsiTheme="minorEastAsia" w:eastAsiaTheme="minorEastAsia" w:cstheme="minorEastAsia"/>
          <w:spacing w:val="-8"/>
          <w:sz w:val="24"/>
          <w:szCs w:val="24"/>
          <w:lang w:eastAsia="zh-CN"/>
        </w:rPr>
        <w:instrText xml:space="preserve">HYPERLINK"https://www.baidu.com/link?url=pV2gqlWQVIfLHb2GO1RMJVp24ETQ1a_TiqQ-2CHpcULsECvXubLhLHJTcTJbIedy&amp;wd=&amp;eqid=88c7d5f9006c2d6b0000000265780e74"\t"https://www.baidu.com/_blank"</w:instrText>
      </w:r>
      <w:r>
        <w:rPr>
          <w:rFonts w:asciiTheme="minorEastAsia" w:hAnsiTheme="minorEastAsia" w:eastAsiaTheme="minorEastAsia" w:cstheme="minorEastAsia"/>
          <w:spacing w:val="-8"/>
          <w:sz w:val="24"/>
          <w:szCs w:val="24"/>
        </w:rPr>
        <w:fldChar w:fldCharType="separate"/>
      </w:r>
      <w:r>
        <w:rPr>
          <w:rFonts w:asciiTheme="minorEastAsia" w:hAnsiTheme="minorEastAsia" w:eastAsiaTheme="minorEastAsia" w:cstheme="minorEastAsia"/>
          <w:spacing w:val="-8"/>
          <w:sz w:val="24"/>
          <w:szCs w:val="24"/>
          <w:lang w:eastAsia="zh-CN"/>
        </w:rPr>
        <w:t>中华人民共和国国家发展和改革委员会</w:t>
      </w:r>
      <w:r>
        <w:rPr>
          <w:rFonts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eastAsia="zh-CN"/>
        </w:rPr>
        <w:t>、信息产业部以文件形式确定、公布并适时调整。</w:t>
      </w:r>
    </w:p>
    <w:p>
      <w:pPr>
        <w:pStyle w:val="9"/>
        <w:kinsoku/>
        <w:wordWrap w:val="0"/>
        <w:spacing w:line="360" w:lineRule="auto"/>
        <w:ind w:firstLine="46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4.4.2 各级政府部门在购置计算机办公设备时，必须采购预装正版操作系统</w:t>
      </w:r>
      <w:r>
        <w:rPr>
          <w:rFonts w:hint="eastAsia" w:asciiTheme="minorEastAsia" w:hAnsiTheme="minorEastAsia" w:eastAsiaTheme="minorEastAsia" w:cstheme="minorEastAsia"/>
          <w:spacing w:val="-9"/>
          <w:sz w:val="24"/>
          <w:szCs w:val="24"/>
          <w:lang w:eastAsia="zh-CN"/>
        </w:rPr>
        <w:t>软件的计算机产品，相关规定依据《国家版权局、信息产业</w:t>
      </w:r>
      <w:r>
        <w:rPr>
          <w:rFonts w:hint="eastAsia" w:asciiTheme="minorEastAsia" w:hAnsiTheme="minorEastAsia" w:eastAsiaTheme="minorEastAsia" w:cstheme="minorEastAsia"/>
          <w:spacing w:val="-10"/>
          <w:sz w:val="24"/>
          <w:szCs w:val="24"/>
          <w:lang w:eastAsia="zh-CN"/>
        </w:rPr>
        <w:t>部、财政</w:t>
      </w:r>
      <w:r>
        <w:rPr>
          <w:rFonts w:hint="eastAsia" w:asciiTheme="minorEastAsia" w:hAnsiTheme="minorEastAsia" w:eastAsiaTheme="minorEastAsia" w:cstheme="minorEastAsia"/>
          <w:spacing w:val="-4"/>
          <w:sz w:val="24"/>
          <w:szCs w:val="24"/>
          <w:lang w:eastAsia="zh-CN"/>
        </w:rPr>
        <w:t>部、国务院机关事务管理局关于政府部门购置计算机办公设备必须采</w:t>
      </w:r>
      <w:r>
        <w:rPr>
          <w:rFonts w:hint="eastAsia" w:asciiTheme="minorEastAsia" w:hAnsiTheme="minorEastAsia" w:eastAsiaTheme="minorEastAsia" w:cstheme="minorEastAsia"/>
          <w:spacing w:val="-3"/>
          <w:sz w:val="24"/>
          <w:szCs w:val="24"/>
          <w:lang w:eastAsia="zh-CN"/>
        </w:rPr>
        <w:t>购已预装正版操作系统软件产品的通知》（国权联〔200</w:t>
      </w:r>
      <w:r>
        <w:rPr>
          <w:rFonts w:hint="eastAsia" w:asciiTheme="minorEastAsia" w:hAnsiTheme="minorEastAsia" w:eastAsiaTheme="minorEastAsia" w:cstheme="minorEastAsia"/>
          <w:spacing w:val="-4"/>
          <w:sz w:val="24"/>
          <w:szCs w:val="24"/>
          <w:lang w:eastAsia="zh-CN"/>
        </w:rPr>
        <w:t>6〕1号）、</w:t>
      </w:r>
      <w:r>
        <w:rPr>
          <w:rFonts w:hint="eastAsia" w:asciiTheme="minorEastAsia" w:hAnsiTheme="minorEastAsia" w:eastAsiaTheme="minorEastAsia" w:cstheme="minorEastAsia"/>
          <w:sz w:val="24"/>
          <w:szCs w:val="24"/>
          <w:lang w:eastAsia="zh-CN"/>
        </w:rPr>
        <w:t>《国务院办公厅关于进一步做好政府机关使用正版</w:t>
      </w:r>
      <w:r>
        <w:rPr>
          <w:rFonts w:hint="eastAsia" w:asciiTheme="minorEastAsia" w:hAnsiTheme="minorEastAsia" w:eastAsiaTheme="minorEastAsia" w:cstheme="minorEastAsia"/>
          <w:spacing w:val="-1"/>
          <w:sz w:val="24"/>
          <w:szCs w:val="24"/>
          <w:lang w:eastAsia="zh-CN"/>
        </w:rPr>
        <w:t>软件工作的通知》</w:t>
      </w:r>
      <w:r>
        <w:rPr>
          <w:rFonts w:hint="eastAsia" w:asciiTheme="minorEastAsia" w:hAnsiTheme="minorEastAsia" w:eastAsiaTheme="minorEastAsia" w:cstheme="minorEastAsia"/>
          <w:spacing w:val="-3"/>
          <w:sz w:val="24"/>
          <w:szCs w:val="24"/>
          <w:lang w:eastAsia="zh-CN"/>
        </w:rPr>
        <w:t>（国办发〔2010〕47号）、《财政部关于进一步做好政府机关使用</w:t>
      </w:r>
      <w:r>
        <w:rPr>
          <w:rFonts w:hint="eastAsia" w:asciiTheme="minorEastAsia" w:hAnsiTheme="minorEastAsia" w:eastAsiaTheme="minorEastAsia" w:cstheme="minorEastAsia"/>
          <w:spacing w:val="-6"/>
          <w:sz w:val="24"/>
          <w:szCs w:val="24"/>
          <w:lang w:eastAsia="zh-CN"/>
        </w:rPr>
        <w:t>正版软件工作的通知》（财预〔2010〕536号）。</w:t>
      </w:r>
    </w:p>
    <w:p>
      <w:pPr>
        <w:pStyle w:val="9"/>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4.5 网络安全专用产品</w:t>
      </w:r>
    </w:p>
    <w:p>
      <w:pPr>
        <w:pStyle w:val="9"/>
        <w:kinsoku/>
        <w:wordWrap w:val="0"/>
        <w:spacing w:line="360" w:lineRule="auto"/>
        <w:ind w:firstLine="476"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4.5.1 所投产品属于列入《网络关键设备和网络安全专用产品目录》的网络</w:t>
      </w:r>
      <w:r>
        <w:rPr>
          <w:rFonts w:hint="eastAsia" w:asciiTheme="minorEastAsia" w:hAnsiTheme="minorEastAsia" w:eastAsiaTheme="minorEastAsia" w:cstheme="minorEastAsia"/>
          <w:spacing w:val="-2"/>
          <w:sz w:val="24"/>
          <w:szCs w:val="24"/>
          <w:lang w:eastAsia="zh-CN"/>
        </w:rPr>
        <w:t>安全专用产品，应当在国家互联网信息办公室会同工业和信息化部、</w:t>
      </w:r>
      <w:r>
        <w:rPr>
          <w:rFonts w:hint="eastAsia" w:asciiTheme="minorEastAsia" w:hAnsiTheme="minorEastAsia" w:eastAsiaTheme="minorEastAsia" w:cstheme="minorEastAsia"/>
          <w:spacing w:val="-4"/>
          <w:sz w:val="24"/>
          <w:szCs w:val="24"/>
          <w:lang w:eastAsia="zh-CN"/>
        </w:rPr>
        <w:t>公安部、国家认证认可监督管理委员会统一公布和更新</w:t>
      </w:r>
      <w:r>
        <w:rPr>
          <w:rFonts w:hint="eastAsia" w:asciiTheme="minorEastAsia" w:hAnsiTheme="minorEastAsia" w:eastAsiaTheme="minorEastAsia" w:cstheme="minorEastAsia"/>
          <w:spacing w:val="-5"/>
          <w:sz w:val="24"/>
          <w:szCs w:val="24"/>
          <w:lang w:eastAsia="zh-CN"/>
        </w:rPr>
        <w:t>的符合要求的</w:t>
      </w:r>
      <w:r>
        <w:rPr>
          <w:rFonts w:hint="eastAsia" w:asciiTheme="minorEastAsia" w:hAnsiTheme="minorEastAsia" w:eastAsiaTheme="minorEastAsia" w:cstheme="minorEastAsia"/>
          <w:spacing w:val="-4"/>
          <w:sz w:val="24"/>
          <w:szCs w:val="24"/>
          <w:lang w:eastAsia="zh-CN"/>
        </w:rPr>
        <w:t>网络关键设备和网络安全专用产品清单中。</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 采购需求标准</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4.6.1 商品包装、快递包装政府采购需求标准（试行）</w:t>
      </w:r>
      <w:r>
        <w:rPr>
          <w:rFonts w:hint="eastAsia" w:asciiTheme="minorEastAsia" w:hAnsiTheme="minorEastAsia" w:eastAsiaTheme="minorEastAsia" w:cstheme="minorEastAsia"/>
          <w:spacing w:val="-12"/>
          <w:sz w:val="24"/>
          <w:szCs w:val="24"/>
          <w:lang w:eastAsia="zh-CN"/>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lang w:eastAsia="zh-CN"/>
        </w:rPr>
        <w:t>标准（试行）》的通知（财办库〔2020〕1</w:t>
      </w:r>
      <w:r>
        <w:rPr>
          <w:rFonts w:hint="eastAsia" w:asciiTheme="minorEastAsia" w:hAnsiTheme="minorEastAsia" w:eastAsiaTheme="minorEastAsia" w:cstheme="minorEastAsia"/>
          <w:spacing w:val="-4"/>
          <w:sz w:val="24"/>
          <w:szCs w:val="24"/>
          <w:lang w:eastAsia="zh-CN"/>
        </w:rPr>
        <w:t>23号</w:t>
      </w:r>
      <w:r>
        <w:rPr>
          <w:rFonts w:hint="eastAsia" w:asciiTheme="minorEastAsia" w:hAnsiTheme="minorEastAsia" w:eastAsiaTheme="minorEastAsia" w:cstheme="minorEastAsia"/>
          <w:spacing w:val="-28"/>
          <w:sz w:val="24"/>
          <w:szCs w:val="24"/>
          <w:lang w:eastAsia="zh-CN"/>
        </w:rPr>
        <w:t>），</w:t>
      </w:r>
      <w:r>
        <w:rPr>
          <w:rFonts w:hint="eastAsia" w:asciiTheme="minorEastAsia" w:hAnsiTheme="minorEastAsia" w:eastAsiaTheme="minorEastAsia" w:cstheme="minorEastAsia"/>
          <w:spacing w:val="-4"/>
          <w:sz w:val="24"/>
          <w:szCs w:val="24"/>
          <w:lang w:eastAsia="zh-CN"/>
        </w:rPr>
        <w:t>本项目如涉及商</w:t>
      </w:r>
      <w:r>
        <w:rPr>
          <w:rFonts w:hint="eastAsia" w:asciiTheme="minorEastAsia" w:hAnsiTheme="minorEastAsia" w:eastAsiaTheme="minorEastAsia" w:cstheme="minorEastAsia"/>
          <w:spacing w:val="-6"/>
          <w:sz w:val="24"/>
          <w:szCs w:val="24"/>
          <w:lang w:eastAsia="zh-CN"/>
        </w:rPr>
        <w:t>品包装和快递包装的，则其具体要求见第二章《采购需求》。</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4.6.2 绿色数据中心政府采购需求标准（试行）</w:t>
      </w:r>
    </w:p>
    <w:p>
      <w:pPr>
        <w:pStyle w:val="9"/>
        <w:kinsoku/>
        <w:wordWrap w:val="0"/>
        <w:spacing w:line="360" w:lineRule="auto"/>
        <w:ind w:firstLine="432" w:firstLineChars="200"/>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为加快数据中心绿色转型，根据财政部、生态环境部、工业和信息化部关于印发《绿色数据中心政府采购需求标准（试行）》的通知（财库〔2023〕7号），本项目如涉及绿色数据中心，则具体要求见第二章《采购需求》。</w:t>
      </w:r>
    </w:p>
    <w:p>
      <w:pPr>
        <w:pStyle w:val="9"/>
        <w:kinsoku/>
        <w:wordWrap w:val="0"/>
        <w:spacing w:line="360" w:lineRule="auto"/>
        <w:ind w:firstLine="474"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pacing w:val="-2"/>
          <w:sz w:val="24"/>
          <w:szCs w:val="24"/>
          <w:lang w:eastAsia="zh-CN"/>
        </w:rPr>
        <w:t>5.采购费用</w:t>
      </w:r>
    </w:p>
    <w:p>
      <w:pPr>
        <w:pStyle w:val="9"/>
        <w:kinsoku/>
        <w:wordWrap w:val="0"/>
        <w:spacing w:line="360" w:lineRule="auto"/>
        <w:ind w:firstLine="488"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4"/>
          <w:sz w:val="24"/>
          <w:szCs w:val="24"/>
          <w:lang w:eastAsia="zh-CN"/>
        </w:rPr>
        <w:t>应自行承担所有与准备和参加本次采购有关的费用</w:t>
      </w:r>
      <w:r>
        <w:rPr>
          <w:rFonts w:hint="eastAsia" w:asciiTheme="minorEastAsia" w:hAnsiTheme="minorEastAsia" w:eastAsiaTheme="minorEastAsia" w:cstheme="minorEastAsia"/>
          <w:spacing w:val="-5"/>
          <w:sz w:val="24"/>
          <w:szCs w:val="24"/>
          <w:lang w:eastAsia="zh-CN"/>
        </w:rPr>
        <w:t>，无论磋商的结果如何，</w:t>
      </w:r>
      <w:r>
        <w:rPr>
          <w:rFonts w:hint="eastAsia" w:asciiTheme="minorEastAsia" w:hAnsiTheme="minorEastAsia" w:eastAsiaTheme="minorEastAsia" w:cstheme="minorEastAsia"/>
          <w:spacing w:val="-1"/>
          <w:sz w:val="24"/>
          <w:szCs w:val="24"/>
          <w:lang w:eastAsia="zh-CN"/>
        </w:rPr>
        <w:t>采购人或采购代理机构在任何情况下均无承担</w:t>
      </w:r>
      <w:r>
        <w:rPr>
          <w:rFonts w:hint="eastAsia" w:asciiTheme="minorEastAsia" w:hAnsiTheme="minorEastAsia" w:eastAsiaTheme="minorEastAsia" w:cstheme="minorEastAsia"/>
          <w:spacing w:val="-2"/>
          <w:sz w:val="24"/>
          <w:szCs w:val="24"/>
          <w:lang w:eastAsia="zh-CN"/>
        </w:rPr>
        <w:t>这些费用的义务和责任。</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6.采购范围及适用法律</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6.2 “监督管理部门”是指</w:t>
      </w:r>
      <w:r>
        <w:rPr>
          <w:rFonts w:hint="eastAsia" w:asciiTheme="minorEastAsia" w:hAnsiTheme="minorEastAsia" w:eastAsiaTheme="minorEastAsia" w:cstheme="minorEastAsia"/>
          <w:spacing w:val="-2"/>
          <w:sz w:val="24"/>
          <w:szCs w:val="24"/>
          <w:u w:val="single"/>
          <w:lang w:eastAsia="zh-CN"/>
        </w:rPr>
        <w:t xml:space="preserve"> 河南省财政厅 </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6.3 “货物”指供应商按采购文件规定，须向采购人提供的与本次采购相关的</w:t>
      </w:r>
      <w:r>
        <w:rPr>
          <w:rFonts w:hint="eastAsia" w:asciiTheme="minorEastAsia" w:hAnsiTheme="minorEastAsia" w:eastAsiaTheme="minorEastAsia" w:cstheme="minorEastAsia"/>
          <w:spacing w:val="-2"/>
          <w:sz w:val="24"/>
          <w:szCs w:val="24"/>
          <w:u w:val="single"/>
          <w:lang w:eastAsia="zh-CN"/>
        </w:rPr>
        <w:t xml:space="preserve">设备及附属物品 </w:t>
      </w:r>
      <w:r>
        <w:rPr>
          <w:rFonts w:hint="eastAsia" w:asciiTheme="minorEastAsia" w:hAnsiTheme="minorEastAsia" w:eastAsiaTheme="minorEastAsia" w:cstheme="minorEastAsia"/>
          <w:spacing w:val="-12"/>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12"/>
          <w:sz w:val="24"/>
          <w:szCs w:val="24"/>
          <w:lang w:eastAsia="zh-CN"/>
        </w:rPr>
      </w:pPr>
      <w:r>
        <w:rPr>
          <w:rFonts w:hint="eastAsia" w:asciiTheme="minorEastAsia" w:hAnsiTheme="minorEastAsia" w:eastAsiaTheme="minorEastAsia" w:cstheme="minorEastAsia"/>
          <w:spacing w:val="-12"/>
          <w:sz w:val="24"/>
          <w:szCs w:val="24"/>
          <w:lang w:eastAsia="zh-CN"/>
        </w:rPr>
        <w:t>6.4 “服务”指采购文件规定供应商应承担的</w:t>
      </w:r>
      <w:r>
        <w:rPr>
          <w:rFonts w:hint="eastAsia" w:asciiTheme="minorEastAsia" w:hAnsiTheme="minorEastAsia" w:eastAsiaTheme="minorEastAsia" w:cstheme="minorEastAsia"/>
          <w:spacing w:val="-2"/>
          <w:sz w:val="24"/>
          <w:szCs w:val="24"/>
          <w:u w:val="single"/>
          <w:lang w:eastAsia="zh-CN"/>
        </w:rPr>
        <w:t xml:space="preserve"> 售后及安装  </w:t>
      </w:r>
      <w:r>
        <w:rPr>
          <w:rFonts w:hint="eastAsia" w:asciiTheme="minorEastAsia" w:hAnsiTheme="minorEastAsia" w:eastAsiaTheme="minorEastAsia" w:cstheme="minorEastAsia"/>
          <w:spacing w:val="-12"/>
          <w:sz w:val="24"/>
          <w:szCs w:val="24"/>
          <w:lang w:eastAsia="zh-CN"/>
        </w:rPr>
        <w:t>服务。</w:t>
      </w:r>
    </w:p>
    <w:p>
      <w:pPr>
        <w:kinsoku/>
        <w:wordWrap w:val="0"/>
        <w:spacing w:line="292" w:lineRule="auto"/>
        <w:jc w:val="both"/>
        <w:rPr>
          <w:lang w:eastAsia="zh-CN"/>
        </w:rPr>
      </w:pPr>
    </w:p>
    <w:p>
      <w:pPr>
        <w:pStyle w:val="9"/>
        <w:kinsoku/>
        <w:wordWrap w:val="0"/>
        <w:spacing w:before="91" w:line="360" w:lineRule="auto"/>
        <w:jc w:val="both"/>
        <w:rPr>
          <w:rFonts w:hint="eastAsia"/>
          <w:sz w:val="24"/>
          <w:szCs w:val="24"/>
          <w:lang w:eastAsia="zh-CN"/>
        </w:rPr>
      </w:pPr>
      <w:r>
        <w:rPr>
          <w:spacing w:val="-1"/>
          <w:sz w:val="28"/>
          <w:szCs w:val="28"/>
          <w:lang w:eastAsia="zh-CN"/>
          <w14:textOutline w14:w="1803" w14:cap="flat" w14:cmpd="sng" w14:algn="ctr">
            <w14:solidFill>
              <w14:srgbClr w14:val="000000"/>
            </w14:solidFill>
            <w14:prstDash w14:val="solid"/>
            <w14:miter w14:val="0"/>
          </w14:textOutline>
        </w:rPr>
        <w:t>二</w:t>
      </w:r>
      <w:r>
        <w:rPr>
          <w:rFonts w:hint="eastAsia"/>
          <w:spacing w:val="-1"/>
          <w:sz w:val="28"/>
          <w:szCs w:val="28"/>
          <w:lang w:eastAsia="zh-CN"/>
        </w:rPr>
        <w:t>、</w:t>
      </w:r>
      <w:r>
        <w:rPr>
          <w:spacing w:val="-1"/>
          <w:sz w:val="28"/>
          <w:szCs w:val="28"/>
          <w:lang w:eastAsia="zh-CN"/>
          <w14:textOutline w14:w="1803" w14:cap="flat" w14:cmpd="sng" w14:algn="ctr">
            <w14:solidFill>
              <w14:srgbClr w14:val="000000"/>
            </w14:solidFill>
            <w14:prstDash w14:val="solid"/>
            <w14:miter w14:val="0"/>
          </w14:textOutline>
        </w:rPr>
        <w:t>竞争性磋商文件</w:t>
      </w:r>
    </w:p>
    <w:p>
      <w:pPr>
        <w:pStyle w:val="9"/>
        <w:kinsoku/>
        <w:wordWrap w:val="0"/>
        <w:spacing w:line="360" w:lineRule="auto"/>
        <w:ind w:firstLine="482" w:firstLineChars="200"/>
        <w:jc w:val="both"/>
        <w:rPr>
          <w:rFonts w:hint="eastAsia"/>
          <w:b/>
          <w:bCs/>
          <w:sz w:val="24"/>
          <w:szCs w:val="24"/>
          <w:lang w:eastAsia="zh-CN"/>
        </w:rPr>
      </w:pPr>
      <w:r>
        <w:rPr>
          <w:rFonts w:hint="eastAsia"/>
          <w:b/>
          <w:bCs/>
          <w:sz w:val="24"/>
          <w:szCs w:val="24"/>
          <w:lang w:eastAsia="zh-CN"/>
        </w:rPr>
        <w:t>7.</w:t>
      </w:r>
      <w:r>
        <w:rPr>
          <w:b/>
          <w:bCs/>
          <w:sz w:val="24"/>
          <w:szCs w:val="24"/>
          <w:lang w:eastAsia="zh-CN"/>
        </w:rPr>
        <w:t>竞争性磋商文件构成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w:t>
      </w:r>
      <w:r>
        <w:rPr>
          <w:spacing w:val="-1"/>
          <w:sz w:val="24"/>
          <w:szCs w:val="24"/>
          <w:lang w:eastAsia="zh-CN"/>
        </w:rPr>
        <w:t>.1</w:t>
      </w:r>
      <w:r>
        <w:rPr>
          <w:rFonts w:hint="eastAsia"/>
          <w:spacing w:val="-1"/>
          <w:sz w:val="24"/>
          <w:szCs w:val="24"/>
          <w:lang w:eastAsia="zh-CN"/>
        </w:rPr>
        <w:t xml:space="preserve"> </w:t>
      </w:r>
      <w:r>
        <w:rPr>
          <w:spacing w:val="-1"/>
          <w:sz w:val="24"/>
          <w:szCs w:val="24"/>
          <w:lang w:eastAsia="zh-CN"/>
        </w:rPr>
        <w:t>竞争性磋商文件包括以下部分：</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rPr>
        <w:fldChar w:fldCharType="begin"/>
      </w:r>
      <w:r>
        <w:rPr>
          <w:spacing w:val="-1"/>
          <w:sz w:val="24"/>
          <w:szCs w:val="24"/>
          <w:lang w:eastAsia="zh-CN"/>
        </w:rPr>
        <w:instrText xml:space="preserve">HYPERLINK\l"bookmark1"</w:instrText>
      </w:r>
      <w:r>
        <w:rPr>
          <w:spacing w:val="-1"/>
          <w:sz w:val="24"/>
          <w:szCs w:val="24"/>
        </w:rPr>
        <w:fldChar w:fldCharType="separate"/>
      </w:r>
      <w:r>
        <w:rPr>
          <w:spacing w:val="-1"/>
          <w:sz w:val="24"/>
          <w:szCs w:val="24"/>
          <w:lang w:eastAsia="zh-CN"/>
        </w:rPr>
        <w:t>第一章</w:t>
      </w:r>
      <w:r>
        <w:rPr>
          <w:rFonts w:hint="eastAsia"/>
          <w:spacing w:val="-1"/>
          <w:sz w:val="24"/>
          <w:szCs w:val="24"/>
          <w:lang w:eastAsia="zh-CN"/>
        </w:rPr>
        <w:t xml:space="preserve"> 竞争性磋商公告</w:t>
      </w:r>
      <w:r>
        <w:rPr>
          <w:spacing w:val="-1"/>
          <w:sz w:val="24"/>
          <w:szCs w:val="24"/>
        </w:rPr>
        <w:fldChar w:fldCharType="end"/>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第二章</w:t>
      </w:r>
      <w:r>
        <w:rPr>
          <w:rFonts w:hint="eastAsia"/>
          <w:spacing w:val="-1"/>
          <w:sz w:val="24"/>
          <w:szCs w:val="24"/>
          <w:lang w:eastAsia="zh-CN"/>
        </w:rPr>
        <w:t xml:space="preserve"> </w:t>
      </w:r>
      <w:r>
        <w:rPr>
          <w:spacing w:val="-1"/>
          <w:sz w:val="24"/>
          <w:szCs w:val="24"/>
          <w:lang w:eastAsia="zh-CN"/>
        </w:rPr>
        <w:t>采购需求</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第三章</w:t>
      </w:r>
      <w:r>
        <w:rPr>
          <w:rFonts w:hint="eastAsia"/>
          <w:spacing w:val="-1"/>
          <w:sz w:val="24"/>
          <w:szCs w:val="24"/>
          <w:lang w:eastAsia="zh-CN"/>
        </w:rPr>
        <w:t xml:space="preserve"> </w:t>
      </w:r>
      <w:r>
        <w:rPr>
          <w:spacing w:val="-1"/>
          <w:sz w:val="24"/>
          <w:szCs w:val="24"/>
          <w:lang w:eastAsia="zh-CN"/>
        </w:rPr>
        <w:t>供应商须知</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第四章</w:t>
      </w:r>
      <w:r>
        <w:rPr>
          <w:rFonts w:hint="eastAsia"/>
          <w:spacing w:val="-1"/>
          <w:sz w:val="24"/>
          <w:szCs w:val="24"/>
          <w:lang w:eastAsia="zh-CN"/>
        </w:rPr>
        <w:t xml:space="preserve"> 评审程序、</w:t>
      </w:r>
      <w:r>
        <w:rPr>
          <w:spacing w:val="-1"/>
          <w:sz w:val="24"/>
          <w:szCs w:val="24"/>
          <w:lang w:eastAsia="zh-CN"/>
        </w:rPr>
        <w:t>评审方法和评审标准</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第五章</w:t>
      </w:r>
      <w:r>
        <w:rPr>
          <w:rFonts w:hint="eastAsia"/>
          <w:spacing w:val="-1"/>
          <w:sz w:val="24"/>
          <w:szCs w:val="24"/>
          <w:lang w:eastAsia="zh-CN"/>
        </w:rPr>
        <w:t xml:space="preserve"> 政府采购合同（草案）</w:t>
      </w:r>
    </w:p>
    <w:p>
      <w:pPr>
        <w:pStyle w:val="9"/>
        <w:kinsoku/>
        <w:wordWrap w:val="0"/>
        <w:spacing w:line="360" w:lineRule="auto"/>
        <w:ind w:firstLine="476" w:firstLineChars="200"/>
        <w:jc w:val="both"/>
        <w:rPr>
          <w:rFonts w:hint="eastAsia"/>
          <w:spacing w:val="-1"/>
          <w:sz w:val="24"/>
          <w:szCs w:val="24"/>
          <w:lang w:eastAsia="zh-CN"/>
        </w:rPr>
      </w:pPr>
      <w:r>
        <w:rPr>
          <w:spacing w:val="-1"/>
          <w:sz w:val="24"/>
          <w:szCs w:val="24"/>
          <w:lang w:eastAsia="zh-CN"/>
        </w:rPr>
        <w:t>第六章</w:t>
      </w:r>
      <w:r>
        <w:rPr>
          <w:rFonts w:hint="eastAsia"/>
          <w:spacing w:val="-1"/>
          <w:sz w:val="24"/>
          <w:szCs w:val="24"/>
          <w:lang w:eastAsia="zh-CN"/>
        </w:rPr>
        <w:t xml:space="preserve"> </w:t>
      </w:r>
      <w:r>
        <w:rPr>
          <w:spacing w:val="-1"/>
          <w:sz w:val="24"/>
          <w:szCs w:val="24"/>
          <w:lang w:eastAsia="zh-CN"/>
        </w:rPr>
        <w:t>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7.2 供应商应认真阅读竞争性磋商文件的全部内容。供应商应按照竞争性磋商文件要求提交响应文件并保证所提供的全部资料的真实性，并对竞争性磋商文件做出实质性响应，否则响应无效。</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8.对竞争性磋商文件的澄清或修改</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8.1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可用补充文件的方式修正竞争性磋商文件，补充文件内容以公告的形式告知所有竞争性磋商文件收受人，该补充文件将成为竞争性磋商文件的组成部分，并替代所修正的部分。</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 xml:space="preserve">8.2 </w:t>
      </w:r>
      <w:r>
        <w:rPr>
          <w:rFonts w:hint="eastAsia" w:asciiTheme="minorEastAsia" w:hAnsiTheme="minorEastAsia" w:eastAsiaTheme="minorEastAsia" w:cstheme="minorEastAsia"/>
          <w:spacing w:val="-8"/>
          <w:sz w:val="24"/>
          <w:szCs w:val="24"/>
          <w:lang w:eastAsia="zh-CN"/>
        </w:rPr>
        <w:t>采购人或采购代理机构</w:t>
      </w:r>
      <w:r>
        <w:rPr>
          <w:rFonts w:hint="eastAsia"/>
          <w:spacing w:val="-1"/>
          <w:sz w:val="24"/>
          <w:szCs w:val="24"/>
          <w:lang w:eastAsia="zh-CN"/>
        </w:rPr>
        <w:t>可以酌情延长上传截止时间，并将此变更以公告形式通知所有竞争性磋商文件收受人。</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eastAsia="zh-CN"/>
        </w:rPr>
        <w:t>（必须在原公告发布媒体上发布公告）</w:t>
      </w:r>
      <w:r>
        <w:rPr>
          <w:rFonts w:hint="eastAsia"/>
          <w:spacing w:val="-1"/>
          <w:sz w:val="24"/>
          <w:szCs w:val="24"/>
          <w:lang w:eastAsia="zh-CN"/>
        </w:rPr>
        <w:t>通知所有获取磋商文件的供应商；不足5日的，将顺延上传响应文件截止时间。</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eastAsia="zh-CN"/>
        </w:rPr>
        <w:t>采购人或采购代理机构</w:t>
      </w:r>
      <w:r>
        <w:rPr>
          <w:rFonts w:hint="eastAsia"/>
          <w:b/>
          <w:bCs/>
          <w:spacing w:val="-1"/>
          <w:sz w:val="24"/>
          <w:szCs w:val="24"/>
          <w:lang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9"/>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8.5 供应商应关注是否有发布最新的澄清更正公告和更正的最新磋商文件（电子答疑文件），如有则需下载最新的磋商文件，并在此基础上制作最新的响应文件并上传。</w:t>
      </w:r>
    </w:p>
    <w:p>
      <w:pPr>
        <w:pStyle w:val="9"/>
        <w:kinsoku/>
        <w:wordWrap w:val="0"/>
        <w:spacing w:before="179" w:line="220" w:lineRule="auto"/>
        <w:jc w:val="both"/>
        <w:rPr>
          <w:rFonts w:hint="eastAsia"/>
          <w:sz w:val="24"/>
          <w:szCs w:val="24"/>
          <w:lang w:eastAsia="zh-CN"/>
        </w:rPr>
      </w:pPr>
    </w:p>
    <w:p>
      <w:pPr>
        <w:pStyle w:val="9"/>
        <w:kinsoku/>
        <w:wordWrap w:val="0"/>
        <w:spacing w:before="91" w:line="360" w:lineRule="auto"/>
        <w:jc w:val="both"/>
        <w:rPr>
          <w:rFonts w:ascii="Arial" w:hAnsi="Arial" w:cs="Arial"/>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三</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响应文件的编制</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9.响应范围、竞争性磋商文件中计量单位的使用及磋商语言</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9.2 除竞争性磋商文件有特殊要求外，本项目磋商所使用的计量单位，应采用中华人民共和国法定计量单位。</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9"/>
        <w:kinsoku/>
        <w:wordWrap w:val="0"/>
        <w:spacing w:line="360" w:lineRule="auto"/>
        <w:ind w:firstLine="478" w:firstLineChars="200"/>
        <w:jc w:val="both"/>
        <w:rPr>
          <w:rFonts w:hint="eastAsia"/>
          <w:spacing w:val="-1"/>
          <w:sz w:val="24"/>
          <w:szCs w:val="24"/>
          <w:lang w:eastAsia="zh-CN"/>
        </w:rPr>
      </w:pPr>
      <w:r>
        <w:rPr>
          <w:rFonts w:hint="eastAsia"/>
          <w:b/>
          <w:bCs/>
          <w:spacing w:val="-1"/>
          <w:sz w:val="24"/>
          <w:szCs w:val="24"/>
          <w:lang w:eastAsia="zh-CN"/>
        </w:rPr>
        <w:t>10.响应文件构成</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10.1 供应商应当按照竞争性磋商文件的要求编制响应文件，并对其提交的响应文件的真实性、合法性承担法律责任。响应文件的部分格式要求，见第六章《响应文件格式》。</w:t>
      </w:r>
    </w:p>
    <w:p>
      <w:pPr>
        <w:pStyle w:val="9"/>
        <w:kinsoku/>
        <w:wordWrap w:val="0"/>
        <w:spacing w:line="360" w:lineRule="auto"/>
        <w:ind w:firstLine="476" w:firstLineChars="200"/>
        <w:jc w:val="both"/>
        <w:rPr>
          <w:rFonts w:hint="eastAsia"/>
          <w:spacing w:val="-1"/>
          <w:sz w:val="24"/>
          <w:szCs w:val="24"/>
          <w:lang w:eastAsia="zh-CN"/>
        </w:rPr>
      </w:pPr>
      <w:r>
        <w:rPr>
          <w:rFonts w:hint="eastAsia"/>
          <w:spacing w:val="-1"/>
          <w:sz w:val="24"/>
          <w:szCs w:val="24"/>
          <w:lang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insoku/>
        <w:wordWrap w:val="0"/>
        <w:spacing w:line="360" w:lineRule="auto"/>
        <w:ind w:firstLine="480"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lang w:eastAsia="zh-CN"/>
        </w:rPr>
        <w:t>10.3 电子响应文件应使用CA数字证书或企业电子营业执照生成并在截止时间前上传其加密版本，根据磋商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sz w:val="24"/>
          <w:szCs w:val="24"/>
          <w:lang w:eastAsia="zh-CN"/>
        </w:rPr>
        <w:t>否则，被视为无效响应文件，将被平台系统拒绝。</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10.4 第四章《</w:t>
      </w:r>
      <w:r>
        <w:rPr>
          <w:rFonts w:hint="eastAsia"/>
          <w:spacing w:val="-1"/>
          <w:sz w:val="24"/>
          <w:szCs w:val="24"/>
          <w:lang w:eastAsia="zh-CN"/>
        </w:rPr>
        <w:t>评审程序、</w:t>
      </w:r>
      <w:r>
        <w:rPr>
          <w:spacing w:val="-1"/>
          <w:sz w:val="24"/>
          <w:szCs w:val="24"/>
          <w:lang w:eastAsia="zh-CN"/>
        </w:rPr>
        <w:t>评审方法和评审标准</w:t>
      </w:r>
      <w:r>
        <w:rPr>
          <w:rFonts w:hint="eastAsia" w:asciiTheme="minorEastAsia" w:hAnsiTheme="minorEastAsia" w:eastAsiaTheme="minorEastAsia" w:cstheme="minorEastAsia"/>
          <w:sz w:val="24"/>
          <w:szCs w:val="24"/>
          <w:lang w:eastAsia="zh-CN"/>
        </w:rPr>
        <w:t>》中涉及的证明文件。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10.5 对照第二章《采购需求》，说明所提供货物、服务或工程已对第二章《采购需求》做出了响应，或申明与第二章《采购需求》的偏差和例外。如第二章《采购需求》中要求提供证明文件的，</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应当按具体要求提供证明文件。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10.6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编制响应文件时，涉及营业执照、资质、业绩、财务、社保、纳税及各类证书、报告等内容，必须是原件的扫描件。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10.7 </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认为应附的其他材料。</w:t>
      </w:r>
    </w:p>
    <w:p>
      <w:pPr>
        <w:kinsoku/>
        <w:wordWrap w:val="0"/>
        <w:spacing w:line="360" w:lineRule="auto"/>
        <w:ind w:firstLine="482"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11.报价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11.1 报价均以人民币报价。</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 供应商的报价应包括为完成本项目所发生的一切费用和税费，采购人将不再支付报价以外的任何费用。供应商的报价应包括但不限于下列内容，磋商文件中有特殊规定的，从其规定。</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11.2.1 所投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11.2.2 服务项目按照磋商文件要求完成本项目的全部相关费用。</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11.3 采购人不得向供应商索要或者接受其给予的赠品、回扣或者与采购无关的其他商品、服务。</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11.4 供应商不能提供任何有选择性或可调整的报价（</w:t>
      </w:r>
      <w:r>
        <w:rPr>
          <w:rFonts w:hint="eastAsia" w:asciiTheme="minorEastAsia" w:hAnsiTheme="minorEastAsia" w:eastAsiaTheme="minorEastAsia" w:cstheme="minorEastAsia"/>
          <w:spacing w:val="-2"/>
          <w:sz w:val="24"/>
          <w:szCs w:val="24"/>
          <w:lang w:eastAsia="zh-CN"/>
        </w:rPr>
        <w:t>竞争性磋商</w:t>
      </w:r>
      <w:r>
        <w:rPr>
          <w:rFonts w:hint="eastAsia" w:asciiTheme="minorEastAsia" w:hAnsiTheme="minorEastAsia" w:eastAsiaTheme="minorEastAsia" w:cstheme="minorEastAsia"/>
          <w:sz w:val="24"/>
          <w:szCs w:val="24"/>
          <w:lang w:eastAsia="zh-CN"/>
        </w:rPr>
        <w:t>文件另有规定的除外），否则其响应无效。</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11.5 本项目将按供应商所提交的单价和总价来支付本项目所需的费用。对供应商没有填写单价和总价的内容,将被认为这些项目费用已包括在报价中。</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11.6 磋商结束，供应商进行网上最终报价。</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11.7 本次采购设有预算，供应商最终报价超过预算的，磋商小组将不予评议。</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11.8 供应商的所有报价不得低于成本恶意竞争。</w:t>
      </w:r>
    </w:p>
    <w:p>
      <w:pPr>
        <w:kinsoku/>
        <w:wordWrap w:val="0"/>
        <w:autoSpaceDE/>
        <w:autoSpaceDN/>
        <w:adjustRightInd/>
        <w:snapToGrid/>
        <w:spacing w:line="360" w:lineRule="auto"/>
        <w:ind w:firstLine="478" w:firstLineChars="200"/>
        <w:jc w:val="both"/>
        <w:textAlignment w:val="auto"/>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12.响应有效期</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12.1 响应文件应在本竞争性磋商文件《供应商须知表》中规定的响应有效期内保持有效，响应有效期少于磋商文件规定期限的，其响应无效。成交人的响应有效期延长至项目验收合格之日。</w:t>
      </w:r>
    </w:p>
    <w:p>
      <w:pPr>
        <w:kinsoku/>
        <w:wordWrap w:val="0"/>
        <w:autoSpaceDE/>
        <w:autoSpaceDN/>
        <w:adjustRightInd/>
        <w:snapToGrid/>
        <w:spacing w:line="360"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12.2 特别情况下，采购代理机构、采购人可于响应有效期满之前要求供应商同意延长有效期，要求与答复均为书面形式。供应商可以拒绝上述要求。对于同意该要求的供应商，既不要求也不允许其修改响应文件。</w:t>
      </w: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13.响应文件的签署、盖章</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13.1 电子响应文件必须在规定签章处电子签章或手写签字后扫描上传进响应文件。</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13.2 竞争性磋商文件要求盖章的内容，一般通过CA或电子营业执照加盖电子签章。</w:t>
      </w:r>
    </w:p>
    <w:p>
      <w:pPr>
        <w:pStyle w:val="9"/>
        <w:kinsoku/>
        <w:wordWrap w:val="0"/>
        <w:spacing w:before="122" w:line="190" w:lineRule="auto"/>
        <w:jc w:val="both"/>
        <w:rPr>
          <w:rFonts w:hint="eastAsia"/>
          <w:spacing w:val="-4"/>
          <w:sz w:val="28"/>
          <w:szCs w:val="28"/>
          <w:lang w:eastAsia="zh-CN"/>
          <w14:textOutline w14:w="1803" w14:cap="flat" w14:cmpd="sng" w14:algn="ctr">
            <w14:solidFill>
              <w14:srgbClr w14:val="000000"/>
            </w14:solidFill>
            <w14:prstDash w14:val="solid"/>
            <w14:miter w14:val="0"/>
          </w14:textOutline>
        </w:rPr>
      </w:pPr>
    </w:p>
    <w:p>
      <w:pPr>
        <w:pStyle w:val="9"/>
        <w:kinsoku/>
        <w:wordWrap w:val="0"/>
        <w:spacing w:before="122" w:line="360" w:lineRule="auto"/>
        <w:jc w:val="both"/>
        <w:rPr>
          <w:rFonts w:hint="eastAsia"/>
          <w:spacing w:val="-1"/>
          <w:sz w:val="24"/>
          <w:szCs w:val="24"/>
          <w:lang w:eastAsia="zh-CN"/>
        </w:rPr>
      </w:pPr>
      <w:r>
        <w:rPr>
          <w:spacing w:val="-4"/>
          <w:sz w:val="28"/>
          <w:szCs w:val="28"/>
          <w:lang w:eastAsia="zh-CN"/>
          <w14:textOutline w14:w="1803" w14:cap="flat" w14:cmpd="sng" w14:algn="ctr">
            <w14:solidFill>
              <w14:srgbClr w14:val="000000"/>
            </w14:solidFill>
            <w14:prstDash w14:val="solid"/>
            <w14:miter w14:val="0"/>
          </w14:textOutline>
        </w:rPr>
        <w:t>四</w:t>
      </w:r>
      <w:r>
        <w:rPr>
          <w:rFonts w:hint="eastAsia"/>
          <w:spacing w:val="10"/>
          <w:sz w:val="28"/>
          <w:szCs w:val="28"/>
          <w:lang w:eastAsia="zh-CN"/>
        </w:rPr>
        <w:t>、</w:t>
      </w:r>
      <w:r>
        <w:rPr>
          <w:spacing w:val="-4"/>
          <w:sz w:val="28"/>
          <w:szCs w:val="28"/>
          <w:lang w:eastAsia="zh-CN"/>
          <w14:textOutline w14:w="1803" w14:cap="flat" w14:cmpd="sng" w14:algn="ctr">
            <w14:solidFill>
              <w14:srgbClr w14:val="000000"/>
            </w14:solidFill>
            <w14:prstDash w14:val="solid"/>
            <w14:miter w14:val="0"/>
          </w14:textOutline>
        </w:rPr>
        <w:t>响应文件的</w:t>
      </w:r>
      <w:r>
        <w:rPr>
          <w:rFonts w:hint="eastAsia" w:ascii="Arial Unicode MS" w:hAnsi="Arial Unicode MS" w:cs="Arial Unicode MS"/>
          <w:spacing w:val="-4"/>
          <w:sz w:val="28"/>
          <w:szCs w:val="28"/>
          <w:lang w:eastAsia="zh-CN"/>
          <w14:textOutline w14:w="1803" w14:cap="flat" w14:cmpd="sng" w14:algn="ctr">
            <w14:solidFill>
              <w14:srgbClr w14:val="000000"/>
            </w14:solidFill>
            <w14:prstDash w14:val="solid"/>
            <w14:miter w14:val="0"/>
          </w14:textOutline>
        </w:rPr>
        <w:t>提</w:t>
      </w:r>
      <w:r>
        <w:rPr>
          <w:rFonts w:ascii="Arial Unicode MS" w:hAnsi="Arial Unicode MS" w:eastAsia="Arial Unicode MS" w:cs="Arial Unicode MS"/>
          <w:spacing w:val="-4"/>
          <w:sz w:val="28"/>
          <w:szCs w:val="28"/>
          <w:lang w:eastAsia="zh-CN"/>
          <w14:textOutline w14:w="1803" w14:cap="flat" w14:cmpd="sng" w14:algn="ctr">
            <w14:solidFill>
              <w14:srgbClr w14:val="000000"/>
            </w14:solidFill>
            <w14:prstDash w14:val="solid"/>
            <w14:miter w14:val="0"/>
          </w14:textOutline>
        </w:rPr>
        <w:t>交</w:t>
      </w:r>
    </w:p>
    <w:p>
      <w:pPr>
        <w:pStyle w:val="9"/>
        <w:kinsoku/>
        <w:wordWrap w:val="0"/>
        <w:spacing w:line="360" w:lineRule="auto"/>
        <w:ind w:firstLine="478" w:firstLineChars="200"/>
        <w:jc w:val="both"/>
        <w:rPr>
          <w:rFonts w:hint="eastAsia"/>
          <w:b/>
          <w:bCs/>
          <w:spacing w:val="-1"/>
          <w:sz w:val="24"/>
          <w:szCs w:val="24"/>
          <w:lang w:eastAsia="zh-CN"/>
        </w:rPr>
      </w:pPr>
      <w:r>
        <w:rPr>
          <w:rFonts w:hint="eastAsia"/>
          <w:b/>
          <w:bCs/>
          <w:spacing w:val="-1"/>
          <w:sz w:val="24"/>
          <w:szCs w:val="24"/>
          <w:lang w:eastAsia="zh-CN"/>
        </w:rPr>
        <w:t>14.响应文件的提交</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14.1 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pPr>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14.2 采购人及采购代理机构拒绝接受通过电子交易平台以外任何形式提交的响应文件。</w:t>
      </w:r>
    </w:p>
    <w:p>
      <w:pPr>
        <w:kinsoku/>
        <w:wordWrap w:val="0"/>
        <w:spacing w:line="360" w:lineRule="auto"/>
        <w:ind w:firstLine="478" w:firstLineChars="200"/>
        <w:jc w:val="both"/>
        <w:rPr>
          <w:rFonts w:hint="eastAsia" w:ascii="宋体" w:hAnsi="宋体" w:eastAsia="宋体" w:cs="宋体"/>
          <w:b/>
          <w:bCs/>
          <w:spacing w:val="-1"/>
          <w:sz w:val="24"/>
          <w:szCs w:val="24"/>
          <w:lang w:eastAsia="zh-CN"/>
        </w:rPr>
      </w:pPr>
      <w:r>
        <w:rPr>
          <w:rFonts w:hint="eastAsia" w:ascii="宋体" w:hAnsi="宋体" w:eastAsia="宋体" w:cs="宋体"/>
          <w:b/>
          <w:bCs/>
          <w:spacing w:val="-1"/>
          <w:sz w:val="24"/>
          <w:szCs w:val="24"/>
          <w:lang w:eastAsia="zh-CN"/>
        </w:rPr>
        <w:t>15.响应文件上传截止时间</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供应商应在竞争性磋商文件要求响应文件上传截止时间前，将电子响应文件提交至电子交易平台。</w:t>
      </w:r>
    </w:p>
    <w:p>
      <w:pPr>
        <w:pStyle w:val="9"/>
        <w:kinsoku/>
        <w:wordWrap w:val="0"/>
        <w:spacing w:line="360" w:lineRule="auto"/>
        <w:ind w:firstLine="494" w:firstLineChars="200"/>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16.响应文件的修改与撤回</w:t>
      </w:r>
    </w:p>
    <w:p>
      <w:pPr>
        <w:pStyle w:val="9"/>
        <w:kinsoku/>
        <w:wordWrap w:val="0"/>
        <w:spacing w:line="360" w:lineRule="auto"/>
        <w:ind w:firstLine="492"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上传截止时间之后，供应商不得修改或撤回电子响应文件。</w:t>
      </w:r>
    </w:p>
    <w:p>
      <w:pPr>
        <w:widowControl w:val="0"/>
        <w:kinsoku/>
        <w:wordWrap w:val="0"/>
        <w:autoSpaceDE/>
        <w:autoSpaceDN/>
        <w:adjustRightInd/>
        <w:snapToGrid/>
        <w:spacing w:after="120"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市公共资源交易电子交易平台最后一份加密电子响应文件为准。</w:t>
      </w:r>
      <w:r>
        <w:rPr>
          <w:rFonts w:hint="eastAsia" w:ascii="宋体" w:hAnsi="宋体" w:eastAsia="宋体" w:cs="宋体"/>
          <w:snapToGrid/>
          <w:color w:val="auto"/>
          <w:spacing w:val="3"/>
          <w:kern w:val="2"/>
          <w:sz w:val="24"/>
          <w:szCs w:val="24"/>
          <w:lang w:eastAsia="zh-CN"/>
        </w:rPr>
        <w:t>上传截止时间之后，供应商不得修改或撤回电子响应文件。</w:t>
      </w:r>
    </w:p>
    <w:p>
      <w:pPr>
        <w:widowControl w:val="0"/>
        <w:tabs>
          <w:tab w:val="left" w:pos="945"/>
          <w:tab w:val="left" w:pos="1155"/>
        </w:tabs>
        <w:kinsoku/>
        <w:autoSpaceDE/>
        <w:autoSpaceDN/>
        <w:adjustRightInd/>
        <w:snapToGrid/>
        <w:spacing w:after="120"/>
        <w:ind w:left="420" w:leftChars="200" w:firstLine="480" w:firstLineChars="200"/>
        <w:jc w:val="both"/>
        <w:textAlignment w:val="auto"/>
        <w:rPr>
          <w:rFonts w:ascii="Times New Roman" w:hAnsi="Times New Roman" w:eastAsia="宋体" w:cs="Times New Roman"/>
          <w:snapToGrid/>
          <w:color w:val="auto"/>
          <w:kern w:val="2"/>
          <w:sz w:val="24"/>
          <w:szCs w:val="20"/>
          <w:lang w:eastAsia="zh-CN"/>
        </w:rPr>
      </w:pPr>
    </w:p>
    <w:p>
      <w:pPr>
        <w:widowControl w:val="0"/>
        <w:kinsoku/>
        <w:autoSpaceDE/>
        <w:autoSpaceDN/>
        <w:adjustRightInd/>
        <w:snapToGrid/>
        <w:jc w:val="both"/>
        <w:textAlignment w:val="auto"/>
        <w:rPr>
          <w:rFonts w:ascii="Calibri" w:hAnsi="Calibri" w:eastAsia="宋体" w:cs="Times New Roman"/>
          <w:b/>
          <w:bCs/>
          <w:snapToGrid/>
          <w:color w:val="auto"/>
          <w:kern w:val="2"/>
          <w:sz w:val="28"/>
          <w:szCs w:val="32"/>
          <w:lang w:eastAsia="zh-CN"/>
        </w:rPr>
      </w:pPr>
    </w:p>
    <w:p>
      <w:pPr>
        <w:widowControl w:val="0"/>
        <w:kinsoku/>
        <w:autoSpaceDE/>
        <w:autoSpaceDN/>
        <w:adjustRightInd/>
        <w:snapToGrid/>
        <w:ind w:firstLine="3654" w:firstLineChars="1300"/>
        <w:jc w:val="both"/>
        <w:textAlignment w:val="auto"/>
        <w:outlineLvl w:val="0"/>
        <w:rPr>
          <w:rFonts w:ascii="Calibri" w:hAnsi="Calibri" w:eastAsia="宋体" w:cs="Times New Roman"/>
          <w:b/>
          <w:bCs/>
          <w:snapToGrid/>
          <w:color w:val="auto"/>
          <w:kern w:val="2"/>
          <w:sz w:val="28"/>
          <w:szCs w:val="32"/>
          <w:lang w:eastAsia="zh-CN"/>
        </w:rPr>
      </w:pPr>
      <w:bookmarkStart w:id="15" w:name="_Toc22804"/>
      <w:r>
        <w:rPr>
          <w:rFonts w:hint="eastAsia" w:ascii="Calibri" w:hAnsi="Calibri" w:eastAsia="宋体" w:cs="Times New Roman"/>
          <w:b/>
          <w:bCs/>
          <w:snapToGrid/>
          <w:color w:val="auto"/>
          <w:kern w:val="2"/>
          <w:sz w:val="28"/>
          <w:szCs w:val="32"/>
          <w:lang w:eastAsia="zh-CN"/>
        </w:rPr>
        <w:t>第四章 评审办法</w:t>
      </w:r>
      <w:bookmarkEnd w:id="12"/>
      <w:bookmarkEnd w:id="15"/>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一、编制、确认竞争性磋商文件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采购人或采购代理机构</w:t>
      </w:r>
      <w:r>
        <w:rPr>
          <w:rFonts w:hint="eastAsia" w:ascii="宋体" w:hAnsi="宋体" w:eastAsia="宋体" w:cs="宋体"/>
          <w:spacing w:val="3"/>
          <w:sz w:val="24"/>
          <w:szCs w:val="24"/>
          <w:lang w:eastAsia="zh-CN"/>
        </w:rPr>
        <w:t>根据采购项目特点和采购实际需求编制竞争性磋商文件，编制的竞争性磋商文件应由采购人审核并确认。</w:t>
      </w: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tabs>
          <w:tab w:val="left" w:pos="743"/>
        </w:tabs>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二、发布竞争性磋商公告，邀请供应商参加磋商</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竞争性磋商文件经采购人书面确认后，将在指定媒体和南阳市公共资源交易中心网发布竞争性磋商公告。供应商按照公告和竞争性磋商文件要求制作并递交响应文件。</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三、组建磋商小组</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根据</w:t>
      </w:r>
      <w:r>
        <w:rPr>
          <w:rFonts w:hint="eastAsia" w:ascii="宋体" w:hAnsi="宋体" w:eastAsia="宋体" w:cs="宋体"/>
          <w:spacing w:val="-2"/>
          <w:sz w:val="24"/>
          <w:szCs w:val="24"/>
          <w:lang w:eastAsia="zh-CN"/>
        </w:rPr>
        <w:t>《中华人民共和国政府采购法》《中华人民共和国政府采购法实施条例》《政府采购竞争性磋商采购方式管理暂行办法》《财政部关于竞争性磋商采购方式管理暂行办法有关问题的补充通知》</w:t>
      </w:r>
      <w:r>
        <w:rPr>
          <w:rFonts w:hint="eastAsia" w:ascii="宋体" w:hAnsi="宋体" w:eastAsia="宋体" w:cs="宋体"/>
          <w:spacing w:val="3"/>
          <w:sz w:val="24"/>
          <w:szCs w:val="24"/>
          <w:lang w:eastAsia="zh-CN"/>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竞争性磋商小组负责对响应文件进行评审、质疑、评估、比较、评分，组织磋商和最后报价。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评审专家应当严格遵守评审工作纪律，按照客观、公正、审慎的原则，根据磋商文件规定的评审程序、评审方法和评审标准进行独立评审。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napToGrid/>
          <w:color w:val="auto"/>
          <w:spacing w:val="3"/>
          <w:kern w:val="2"/>
          <w:sz w:val="24"/>
          <w:szCs w:val="24"/>
          <w:lang w:eastAsia="zh-CN"/>
        </w:rPr>
        <w:t>评审活动结束，按照《河南省政府采购评审专家劳务报酬支付标准》的通知(豫财购〔2017〕9号)的规定，发放劳务报酬。</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评审专家未完成评审工作擅自离开评审现场，或者在评审活动中有违法违规行为的，不得获取劳务报酬和报销异地评审差旅费。评审专家以外的其他人员不得获取评审劳务报酬。</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四、解密电子响应文件</w:t>
      </w:r>
    </w:p>
    <w:p>
      <w:pPr>
        <w:widowControl w:val="0"/>
        <w:kinsoku/>
        <w:wordWrap w:val="0"/>
        <w:autoSpaceDE/>
        <w:autoSpaceDN/>
        <w:adjustRightInd/>
        <w:snapToGrid/>
        <w:spacing w:after="120" w:line="360" w:lineRule="auto"/>
        <w:ind w:firstLine="492" w:firstLineChars="200"/>
        <w:jc w:val="both"/>
        <w:textAlignment w:val="auto"/>
        <w:outlineLvl w:val="1"/>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spacing w:val="3"/>
          <w:sz w:val="24"/>
          <w:szCs w:val="24"/>
          <w:lang w:eastAsia="zh-CN"/>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widowControl w:val="0"/>
        <w:kinsoku/>
        <w:wordWrap w:val="0"/>
        <w:autoSpaceDE/>
        <w:autoSpaceDN/>
        <w:adjustRightInd/>
        <w:snapToGrid/>
        <w:spacing w:line="360" w:lineRule="auto"/>
        <w:jc w:val="both"/>
        <w:textAlignment w:val="auto"/>
        <w:rPr>
          <w:rFonts w:hint="eastAsia" w:ascii="宋体" w:hAnsi="宋体" w:eastAsia="宋体" w:cs="宋体"/>
          <w:b/>
          <w:bCs/>
          <w:snapToGrid/>
          <w:color w:val="auto"/>
          <w:spacing w:val="3"/>
          <w:kern w:val="2"/>
          <w:sz w:val="24"/>
          <w:szCs w:val="24"/>
          <w:lang w:eastAsia="zh-CN"/>
        </w:rPr>
      </w:pPr>
    </w:p>
    <w:p>
      <w:pPr>
        <w:widowControl w:val="0"/>
        <w:kinsoku/>
        <w:wordWrap w:val="0"/>
        <w:autoSpaceDE/>
        <w:autoSpaceDN/>
        <w:adjustRightInd/>
        <w:snapToGrid/>
        <w:spacing w:line="360" w:lineRule="auto"/>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b/>
          <w:bCs/>
          <w:spacing w:val="3"/>
          <w:sz w:val="24"/>
          <w:szCs w:val="24"/>
          <w:lang w:eastAsia="zh-CN"/>
        </w:rPr>
        <w:t>五、评审</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磋商小组对供应商提交的响应文件进行评审。主要对响应文件的有效性、完整性和响应程度进行审查，具体包括：</w:t>
      </w:r>
    </w:p>
    <w:p>
      <w:pPr>
        <w:widowControl w:val="0"/>
        <w:kinsoku/>
        <w:wordWrap w:val="0"/>
        <w:autoSpaceDE/>
        <w:autoSpaceDN/>
        <w:adjustRightInd/>
        <w:snapToGrid/>
        <w:spacing w:line="360" w:lineRule="auto"/>
        <w:ind w:firstLine="494" w:firstLineChars="200"/>
        <w:jc w:val="center"/>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资格性审查</w:t>
      </w:r>
    </w:p>
    <w:tbl>
      <w:tblPr>
        <w:tblStyle w:val="38"/>
        <w:tblW w:w="9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4"/>
        <w:gridCol w:w="1002"/>
        <w:gridCol w:w="5276"/>
        <w:gridCol w:w="25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序号</w:t>
            </w:r>
          </w:p>
        </w:tc>
        <w:tc>
          <w:tcPr>
            <w:tcW w:w="1002"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审查因素</w:t>
            </w:r>
          </w:p>
        </w:tc>
        <w:tc>
          <w:tcPr>
            <w:tcW w:w="527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审查内容</w:t>
            </w:r>
          </w:p>
        </w:tc>
        <w:tc>
          <w:tcPr>
            <w:tcW w:w="2536"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0"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满足第一章《竞争性磋商公告》供应商具备的资格要求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1具有独立承担民事责任的能力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（提供有效的法人或者其他组织的营业执照等证明文件，自然人投标的需提供自然人的身份证明）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2具有良好的商业信誉和健全的财务会计管理制度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w:t>
            </w:r>
            <w:r>
              <w:rPr>
                <w:rFonts w:hint="eastAsia" w:ascii="宋体" w:hAnsi="宋体" w:eastAsia="宋体"/>
                <w:color w:val="000000" w:themeColor="text1"/>
                <w:sz w:val="24"/>
                <w:szCs w:val="24"/>
                <w:lang w:eastAsia="zh-CN"/>
                <w14:textFill>
                  <w14:solidFill>
                    <w14:schemeClr w14:val="tx1"/>
                  </w14:solidFill>
                </w14:textFill>
              </w:rPr>
              <w:t>提供2023年或2024年经审计的财务报告或本公司出具的财务报表，或提供近三个月内其银行出具的资信证明</w:t>
            </w:r>
            <w:r>
              <w:rPr>
                <w:rFonts w:ascii="宋体" w:hAnsi="宋体" w:eastAsia="宋体"/>
                <w:color w:val="000000" w:themeColor="text1"/>
                <w:sz w:val="24"/>
                <w:szCs w:val="24"/>
                <w:lang w:eastAsia="zh-CN"/>
                <w14:textFill>
                  <w14:solidFill>
                    <w14:schemeClr w14:val="tx1"/>
                  </w14:solidFill>
                </w14:textFill>
              </w:rPr>
              <w: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3具有履行合同所必须的设备和专业技术能力</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4有依法缴纳税收和社会保障资金的良好记录</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（提供2024年</w:t>
            </w:r>
            <w:r>
              <w:rPr>
                <w:rFonts w:hint="eastAsia" w:ascii="宋体" w:hAnsi="宋体" w:eastAsia="宋体"/>
                <w:color w:val="000000" w:themeColor="text1"/>
                <w:sz w:val="24"/>
                <w:szCs w:val="24"/>
                <w:lang w:eastAsia="zh-CN"/>
                <w14:textFill>
                  <w14:solidFill>
                    <w14:schemeClr w14:val="tx1"/>
                  </w14:solidFill>
                </w14:textFill>
              </w:rPr>
              <w:t>内</w:t>
            </w:r>
            <w:r>
              <w:rPr>
                <w:rFonts w:ascii="宋体" w:hAnsi="宋体" w:eastAsia="宋体"/>
                <w:color w:val="000000" w:themeColor="text1"/>
                <w:sz w:val="24"/>
                <w:szCs w:val="24"/>
                <w:lang w:eastAsia="zh-CN"/>
                <w14:textFill>
                  <w14:solidFill>
                    <w14:schemeClr w14:val="tx1"/>
                  </w14:solidFill>
                </w14:textFill>
              </w:rPr>
              <w:t>任意1个月纳税和社保证明材料&lt;依法免税或不需要缴纳社会保障资金的供应商，应提供相应文件证明其依法免税或不需要缴纳社会保障金的证明材料&gt;）</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5参加政府采购活动前三年内，在经营活动中没有重大违法记录。（提供书面声明</w:t>
            </w:r>
            <w:r>
              <w:rPr>
                <w:rFonts w:hint="eastAsia" w:ascii="宋体" w:hAnsi="宋体" w:eastAsia="宋体"/>
                <w:color w:val="000000" w:themeColor="text1"/>
                <w:sz w:val="24"/>
                <w:szCs w:val="24"/>
                <w:lang w:eastAsia="zh-CN"/>
                <w14:textFill>
                  <w14:solidFill>
                    <w14:schemeClr w14:val="tx1"/>
                  </w14:solidFill>
                </w14:textFill>
              </w:rPr>
              <w:t>，见</w:t>
            </w:r>
            <w:r>
              <w:rPr>
                <w:rFonts w:ascii="宋体" w:hAnsi="宋体" w:eastAsia="宋体"/>
                <w:color w:val="000000" w:themeColor="text1"/>
                <w:sz w:val="24"/>
                <w:szCs w:val="24"/>
                <w:lang w:eastAsia="zh-CN"/>
                <w14:textFill>
                  <w14:solidFill>
                    <w14:schemeClr w14:val="tx1"/>
                  </w14:solidFill>
                </w14:textFill>
              </w:rPr>
              <w:t>格式）</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6根据《关于在政府采购活动中查询及使用信用记录有关问题的通知》(财库[2016]125 号) 的规定，被列入“信用中国”网站（www.creditchina.gov.cn）的“失信被执行人”（查询渠道为“中国执行信息公开网”网站(zxgk.court.gov.cn/shixin/））、“重大税收违法失信主体”或“中国政府采购网”网站（www.ccgp.gov.cn）的“政府采购严重违法失信行为记录名单”的</w:t>
            </w:r>
            <w:r>
              <w:rPr>
                <w:rFonts w:hint="eastAsia" w:ascii="宋体" w:hAnsi="宋体" w:eastAsia="宋体"/>
                <w:color w:val="000000" w:themeColor="text1"/>
                <w:sz w:val="24"/>
                <w:szCs w:val="24"/>
                <w:lang w:eastAsia="zh-CN"/>
                <w14:textFill>
                  <w14:solidFill>
                    <w14:schemeClr w14:val="tx1"/>
                  </w14:solidFill>
                </w14:textFill>
              </w:rPr>
              <w:t>供应商</w:t>
            </w:r>
            <w:r>
              <w:rPr>
                <w:rFonts w:ascii="宋体" w:hAnsi="宋体" w:eastAsia="宋体"/>
                <w:color w:val="000000" w:themeColor="text1"/>
                <w:sz w:val="24"/>
                <w:szCs w:val="24"/>
                <w:lang w:eastAsia="zh-CN"/>
                <w14:textFill>
                  <w14:solidFill>
                    <w14:schemeClr w14:val="tx1"/>
                  </w14:solidFill>
                </w14:textFill>
              </w:rPr>
              <w:t>，不得参与本次</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活动。查询时间：本项目</w:t>
            </w:r>
            <w:r>
              <w:rPr>
                <w:rFonts w:hint="eastAsia" w:ascii="宋体" w:hAnsi="宋体" w:eastAsia="宋体"/>
                <w:color w:val="000000" w:themeColor="text1"/>
                <w:sz w:val="24"/>
                <w:szCs w:val="24"/>
                <w:lang w:eastAsia="zh-CN"/>
                <w14:textFill>
                  <w14:solidFill>
                    <w14:schemeClr w14:val="tx1"/>
                  </w14:solidFill>
                </w14:textFill>
              </w:rPr>
              <w:t>采购</w:t>
            </w:r>
            <w:r>
              <w:rPr>
                <w:rFonts w:ascii="宋体" w:hAnsi="宋体" w:eastAsia="宋体"/>
                <w:color w:val="000000" w:themeColor="text1"/>
                <w:sz w:val="24"/>
                <w:szCs w:val="24"/>
                <w:lang w:eastAsia="zh-CN"/>
                <w14:textFill>
                  <w14:solidFill>
                    <w14:schemeClr w14:val="tx1"/>
                  </w14:solidFill>
                </w14:textFill>
              </w:rPr>
              <w:t>公告发布之后。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7与采购人、采购人就本次采购的项目委托的招标代理机构以及上述机构的附属机构没有行政或经济关联</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（提供书面声明</w:t>
            </w:r>
            <w:r>
              <w:rPr>
                <w:rFonts w:hint="eastAsia" w:ascii="宋体" w:hAnsi="宋体" w:eastAsia="宋体"/>
                <w:color w:val="000000" w:themeColor="text1"/>
                <w:sz w:val="24"/>
                <w:szCs w:val="24"/>
                <w:lang w:eastAsia="zh-CN"/>
                <w14:textFill>
                  <w14:solidFill>
                    <w14:schemeClr w14:val="tx1"/>
                  </w14:solidFill>
                </w14:textFill>
              </w:rPr>
              <w:t>，内容</w:t>
            </w:r>
            <w:r>
              <w:rPr>
                <w:rFonts w:ascii="宋体" w:hAnsi="宋体" w:eastAsia="宋体"/>
                <w:color w:val="000000" w:themeColor="text1"/>
                <w:sz w:val="24"/>
                <w:szCs w:val="24"/>
                <w:lang w:eastAsia="zh-CN"/>
                <w14:textFill>
                  <w14:solidFill>
                    <w14:schemeClr w14:val="tx1"/>
                  </w14:solidFill>
                </w14:textFill>
              </w:rPr>
              <w:t>不限，格式自拟）</w:t>
            </w:r>
          </w:p>
        </w:tc>
        <w:tc>
          <w:tcPr>
            <w:tcW w:w="2536" w:type="dxa"/>
            <w:vAlign w:val="center"/>
          </w:tcPr>
          <w:p>
            <w:pPr>
              <w:spacing w:line="360" w:lineRule="auto"/>
              <w:ind w:firstLine="480" w:firstLineChars="200"/>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供应商为企业（包括合伙企业、个体工商户）的，应提供有效的营业执照；供应商为事业单位的，应提供有效的事业单位法人证书</w:t>
            </w:r>
            <w:r>
              <w:rPr>
                <w:rFonts w:hint="eastAsia" w:ascii="宋体" w:hAnsi="宋体" w:eastAsia="宋体"/>
                <w:color w:val="000000" w:themeColor="text1"/>
                <w:sz w:val="24"/>
                <w:szCs w:val="24"/>
                <w:lang w:eastAsia="zh-CN"/>
                <w14:textFill>
                  <w14:solidFill>
                    <w14:schemeClr w14:val="tx1"/>
                  </w14:solidFill>
                </w14:textFill>
              </w:rPr>
              <w:t>；</w:t>
            </w:r>
            <w:r>
              <w:rPr>
                <w:rFonts w:ascii="宋体" w:hAnsi="宋体" w:eastAsia="宋体"/>
                <w:color w:val="000000" w:themeColor="text1"/>
                <w:sz w:val="24"/>
                <w:szCs w:val="24"/>
                <w:lang w:eastAsia="zh-CN"/>
                <w14:textFill>
                  <w14:solidFill>
                    <w14:schemeClr w14:val="tx1"/>
                  </w14:solidFill>
                </w14:textFill>
              </w:rPr>
              <w:t>供应商是非企业机构的，应提供有效的执业许可证、登记证书等证明文件；供应商是自然人的，应提供有效的自然人身份证明。</w:t>
            </w:r>
          </w:p>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664" w:type="dxa"/>
            <w:vAlign w:val="center"/>
          </w:tcPr>
          <w:p>
            <w:pPr>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002"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本项目的其他资格要求</w:t>
            </w:r>
          </w:p>
        </w:tc>
        <w:tc>
          <w:tcPr>
            <w:tcW w:w="527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ascii="宋体" w:hAnsi="宋体" w:eastAsia="宋体"/>
                <w:color w:val="000000" w:themeColor="text1"/>
                <w:sz w:val="24"/>
                <w:szCs w:val="24"/>
                <w:lang w:eastAsia="zh-CN"/>
                <w14:textFill>
                  <w14:solidFill>
                    <w14:schemeClr w14:val="tx1"/>
                  </w14:solidFill>
                </w14:textFill>
              </w:rPr>
              <w:t>如有，见第一章《竞争性磋商公告》</w:t>
            </w:r>
          </w:p>
        </w:tc>
        <w:tc>
          <w:tcPr>
            <w:tcW w:w="2536" w:type="dxa"/>
            <w:vAlign w:val="center"/>
          </w:tcPr>
          <w:p>
            <w:pPr>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p>
        </w:tc>
      </w:tr>
    </w:tbl>
    <w:p>
      <w:pPr>
        <w:widowControl w:val="0"/>
        <w:numPr>
          <w:ilvl w:val="0"/>
          <w:numId w:val="3"/>
        </w:numPr>
        <w:kinsoku/>
        <w:wordWrap w:val="0"/>
        <w:autoSpaceDE/>
        <w:autoSpaceDN/>
        <w:adjustRightInd/>
        <w:snapToGrid/>
        <w:spacing w:after="120" w:line="360" w:lineRule="auto"/>
        <w:ind w:firstLine="484"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符合性审查。</w:t>
      </w:r>
    </w:p>
    <w:tbl>
      <w:tblPr>
        <w:tblStyle w:val="24"/>
        <w:tblW w:w="9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1639"/>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审查因素</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按磋商文件要求提供法人</w:t>
            </w:r>
            <w:r>
              <w:rPr>
                <w:rFonts w:ascii="宋体" w:hAnsi="宋体" w:eastAsia="宋体"/>
                <w:color w:val="000000" w:themeColor="text1"/>
                <w:sz w:val="24"/>
                <w:szCs w:val="24"/>
                <w:lang w:eastAsia="zh-CN"/>
                <w14:textFill>
                  <w14:solidFill>
                    <w14:schemeClr w14:val="tx1"/>
                  </w14:solidFill>
                </w14:textFill>
              </w:rPr>
              <w:t>证明、</w:t>
            </w:r>
            <w:r>
              <w:rPr>
                <w:rFonts w:hint="eastAsia" w:ascii="宋体" w:hAnsi="宋体" w:eastAsia="宋体"/>
                <w:color w:val="000000" w:themeColor="text1"/>
                <w:sz w:val="24"/>
                <w:szCs w:val="24"/>
                <w:lang w:eastAsia="zh-CN"/>
                <w14:textFill>
                  <w14:solidFill>
                    <w14:schemeClr w14:val="tx1"/>
                  </w14:solidFill>
                </w14:textFill>
              </w:rPr>
              <w:t>授权委托书（如有）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2</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报价</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报价未超过磋商文件中规定的项目/采购包预算金额或者项目/ 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3</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报价唯一性</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响应文件未出现可选择性或可调整的报价（磋商文件另有规定的除外）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4</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磋商</w:t>
            </w:r>
            <w:r>
              <w:rPr>
                <w:rFonts w:hint="eastAsia" w:ascii="宋体" w:hAnsi="宋体" w:eastAsia="宋体"/>
                <w:color w:val="000000" w:themeColor="text1"/>
                <w:sz w:val="24"/>
                <w:szCs w:val="24"/>
                <w14:textFill>
                  <w14:solidFill>
                    <w14:schemeClr w14:val="tx1"/>
                  </w14:solidFill>
                </w14:textFill>
              </w:rPr>
              <w:t>有效期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响应文件中磋商有效期满足采购文件中载明的磋商有效期。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5</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实质性格式</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标记为实质性格式的文件均按磋商文件要求提供且签署、盖章。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报价的修正（如有）</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不涉及报价修正，或响应文件报价出现前后不一致时，供应商对修正后的报价予以确认。（如有）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7</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质量标准</w:t>
            </w:r>
          </w:p>
        </w:tc>
        <w:tc>
          <w:tcPr>
            <w:tcW w:w="7053"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国家合格标准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8</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质保期</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响应文件中质保期满足采购文件中载明的质保期。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9</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交付时间及地点</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响应文件中交付时间及地点满足采购文件中载明的交付时间及地点。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4"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10</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串通投标</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不存在《政府采购货物和服务招标投标管理办法》视为供应商串通投标的情形：</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（1）不同供应商的响应文件由同一单位或者个人编制；</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（2）不同供应商委托同一单位或者个人办理投标事宜；</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（3）不同供应商的响应文件载明的项目管理成员或者联系人员为同一人；</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（4）不同供应商的响应文件异常一致或者报价呈规律性差异；</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（5）不同供应商的响应文件相互混装；</w:t>
            </w:r>
          </w:p>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（6）不同供应商的磋商保证金从同一单位或者个人的账户转出（如有）；不存在南阳市财政局关于防范供应商串通投标促进政府采购公平竞争的通知（宛财购〔2022〕3号）供应商串通投标的情形。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27"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w:t>
            </w:r>
            <w:r>
              <w:rPr>
                <w:rFonts w:hint="eastAsia" w:ascii="宋体" w:hAnsi="宋体" w:eastAsia="宋体"/>
                <w:color w:val="000000" w:themeColor="text1"/>
                <w:sz w:val="24"/>
                <w:szCs w:val="24"/>
                <w:lang w:eastAsia="zh-CN"/>
                <w14:textFill>
                  <w14:solidFill>
                    <w14:schemeClr w14:val="tx1"/>
                  </w14:solidFill>
                </w14:textFill>
              </w:rPr>
              <w:t>1</w:t>
            </w:r>
          </w:p>
        </w:tc>
        <w:tc>
          <w:tcPr>
            <w:tcW w:w="1639" w:type="dxa"/>
            <w:vAlign w:val="center"/>
          </w:tcPr>
          <w:p>
            <w:pPr>
              <w:widowControl w:val="0"/>
              <w:spacing w:line="360" w:lineRule="auto"/>
              <w:jc w:val="center"/>
              <w:rPr>
                <w:rFonts w:hint="eastAsia"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其他</w:t>
            </w:r>
          </w:p>
        </w:tc>
        <w:tc>
          <w:tcPr>
            <w:tcW w:w="7053" w:type="dxa"/>
            <w:vAlign w:val="center"/>
          </w:tcPr>
          <w:p>
            <w:pPr>
              <w:widowControl w:val="0"/>
              <w:spacing w:line="360" w:lineRule="auto"/>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eastAsia="宋体"/>
                <w:color w:val="000000" w:themeColor="text1"/>
                <w:sz w:val="24"/>
                <w:szCs w:val="24"/>
                <w:lang w:eastAsia="zh-CN"/>
                <w14:textFill>
                  <w14:solidFill>
                    <w14:schemeClr w14:val="tx1"/>
                  </w14:solidFill>
                </w14:textFill>
              </w:rPr>
              <w:t>/</w:t>
            </w:r>
          </w:p>
        </w:tc>
      </w:tr>
    </w:tbl>
    <w:p>
      <w:pPr>
        <w:widowControl w:val="0"/>
        <w:kinsoku/>
        <w:wordWrap w:val="0"/>
        <w:autoSpaceDE/>
        <w:autoSpaceDN/>
        <w:adjustRightInd/>
        <w:snapToGrid/>
        <w:spacing w:after="120" w:line="360" w:lineRule="auto"/>
        <w:jc w:val="both"/>
        <w:textAlignment w:val="auto"/>
        <w:rPr>
          <w:rFonts w:hint="eastAsia" w:ascii="宋体" w:hAnsi="宋体" w:eastAsia="宋体" w:cs="宋体"/>
          <w:spacing w:val="1"/>
          <w:sz w:val="24"/>
          <w:szCs w:val="24"/>
          <w:lang w:eastAsia="zh-CN"/>
        </w:rPr>
      </w:pP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磋商小组依据竞争性磋商文件的规定检查供应商响应文件制作内容的完整度和符合性是否符合竞争性磋商文件的各项要求。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只有通过以上审查的供应商的响应文件，方可进入商务和技术评估，综合比较与评价。</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3.技术（服务）审查。磋商小组依据竞争性磋商文件的规定审查各供应商所响应设备的技术指标、技术性能、产品技术说明或项目方案、人员配备等是否符合最低要求。</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4.综合比较与评价。对各供应商对磋商文件的符合性和技术响应程度、项目方案或技术响应程度、综合实力、售后服务以及报价等因素，进行综合评比。</w:t>
      </w:r>
    </w:p>
    <w:p>
      <w:pPr>
        <w:widowControl w:val="0"/>
        <w:kinsoku/>
        <w:wordWrap w:val="0"/>
        <w:autoSpaceDE/>
        <w:autoSpaceDN/>
        <w:adjustRightInd/>
        <w:snapToGrid/>
        <w:spacing w:line="360" w:lineRule="auto"/>
        <w:ind w:firstLine="492" w:firstLineChars="200"/>
        <w:jc w:val="both"/>
        <w:textAlignment w:val="auto"/>
        <w:rPr>
          <w:rFonts w:hint="eastAsia" w:ascii="宋体" w:hAnsi="宋体" w:eastAsia="宋体" w:cs="宋体"/>
          <w:snapToGrid/>
          <w:color w:val="auto"/>
          <w:spacing w:val="3"/>
          <w:kern w:val="2"/>
          <w:sz w:val="24"/>
          <w:szCs w:val="24"/>
          <w:lang w:eastAsia="zh-CN"/>
        </w:rPr>
      </w:pPr>
      <w:r>
        <w:rPr>
          <w:rFonts w:hint="eastAsia" w:ascii="宋体" w:hAnsi="宋体" w:eastAsia="宋体" w:cs="宋体"/>
          <w:spacing w:val="3"/>
          <w:sz w:val="24"/>
          <w:szCs w:val="24"/>
          <w:lang w:eastAsia="zh-CN"/>
        </w:rPr>
        <w:t>5.未实质性响应磋商文件的响应文件按无效响应处理，磋商小组应当告知提交响应文件的供应商。</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响应文件无效的情形：</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 在资格性和符合性审查时，如发现下列情形之一的，响应文件将被视为无效：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5.1.1 资格证明文件不全的，或者不符合竞争性磋商文件标明的资格要求的；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5.1.2 响应文件无法定代表人或负责人签字,或未提供法定代表人或负责人授权委托书、承诺书或者填写项目不齐全的；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5.1.3 授权代表人未能出具身份证明或与法定代表人或负责人授权委托人身份不符的；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5.1.4 电子响应文件未使用CA或电子营业执照认证并加密的；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5.1.5 其他不符合磋商文件实质性要求的。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 在报价评审时，如发现下列情形之一的，响应文件将被视为无效：</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5.2.1 未采用人民币报价的；</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5.2.2 报价具有选择性；</w:t>
      </w:r>
    </w:p>
    <w:p>
      <w:pPr>
        <w:widowControl w:val="0"/>
        <w:kinsoku/>
        <w:wordWrap w:val="0"/>
        <w:autoSpaceDE/>
        <w:autoSpaceDN/>
        <w:adjustRightInd/>
        <w:snapToGrid/>
        <w:spacing w:line="360" w:lineRule="auto"/>
        <w:ind w:firstLine="494" w:firstLineChars="200"/>
        <w:jc w:val="both"/>
        <w:textAlignment w:val="auto"/>
        <w:rPr>
          <w:rFonts w:hint="eastAsia" w:ascii="宋体" w:hAnsi="宋体" w:eastAsia="宋体" w:cs="宋体"/>
          <w:b/>
          <w:bCs/>
          <w:snapToGrid/>
          <w:color w:val="auto"/>
          <w:spacing w:val="3"/>
          <w:kern w:val="2"/>
          <w:sz w:val="24"/>
          <w:szCs w:val="24"/>
          <w:lang w:eastAsia="zh-CN"/>
        </w:rPr>
      </w:pPr>
      <w:r>
        <w:rPr>
          <w:rFonts w:hint="eastAsia" w:ascii="宋体" w:hAnsi="宋体" w:eastAsia="宋体" w:cs="宋体"/>
          <w:b/>
          <w:bCs/>
          <w:spacing w:val="3"/>
          <w:sz w:val="24"/>
          <w:szCs w:val="24"/>
          <w:lang w:eastAsia="zh-CN"/>
        </w:rPr>
        <w:t>5.2.3 未进行最后报价或最后报价高于采购人预算的。</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磋商、响应文件有关事项的澄清、说明或者更正和最后报价</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.1</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磋商小组所有成员将集中与单一供应商分别进行磋商，并给予所有参加磋商的供应商平等的磋商机会。</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.2</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在磋商过程中，磋商小组可以根据磋商文件和磋商情况实质性变动采购需求中的技术、服务要求以及合同草案条款，但不得变动磋商文件中的其他内容。实质性变动的内容，须经采购人代表确认。</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Times New Roman"/>
          <w:snapToGrid/>
          <w:color w:val="auto"/>
          <w:kern w:val="2"/>
          <w:sz w:val="24"/>
          <w:szCs w:val="24"/>
          <w:lang w:eastAsia="zh-CN"/>
        </w:rPr>
        <w:t>6</w:t>
      </w:r>
      <w:r>
        <w:rPr>
          <w:rFonts w:ascii="Calibri" w:hAnsi="Calibri" w:eastAsia="宋体" w:cs="Times New Roman"/>
          <w:snapToGrid/>
          <w:color w:val="auto"/>
          <w:kern w:val="2"/>
          <w:sz w:val="24"/>
          <w:szCs w:val="24"/>
          <w:lang w:eastAsia="zh-CN"/>
        </w:rPr>
        <w:t>.3</w:t>
      </w:r>
      <w:r>
        <w:rPr>
          <w:rFonts w:hint="eastAsia" w:ascii="Calibri" w:hAnsi="Calibri" w:eastAsia="宋体" w:cs="Times New Roman"/>
          <w:snapToGrid/>
          <w:color w:val="auto"/>
          <w:kern w:val="2"/>
          <w:sz w:val="24"/>
          <w:szCs w:val="24"/>
          <w:lang w:eastAsia="zh-CN"/>
        </w:rPr>
        <w:t xml:space="preserve"> </w:t>
      </w:r>
      <w:r>
        <w:rPr>
          <w:rFonts w:ascii="Calibri" w:hAnsi="Calibri" w:eastAsia="宋体" w:cs="Times New Roman"/>
          <w:snapToGrid/>
          <w:color w:val="auto"/>
          <w:kern w:val="2"/>
          <w:sz w:val="24"/>
          <w:szCs w:val="24"/>
          <w:lang w:eastAsia="zh-CN"/>
        </w:rPr>
        <w:t>对磋商文件作出的实质性变动是磋商文件的有效组成部分，磋商小组应当及时</w:t>
      </w:r>
      <w:r>
        <w:rPr>
          <w:rFonts w:hint="eastAsia" w:ascii="Calibri" w:hAnsi="Calibri" w:eastAsia="宋体" w:cs="Times New Roman"/>
          <w:snapToGrid/>
          <w:color w:val="auto"/>
          <w:kern w:val="2"/>
          <w:sz w:val="24"/>
          <w:szCs w:val="24"/>
          <w:lang w:eastAsia="zh-CN"/>
        </w:rPr>
        <w:t>通过评标系统通知</w:t>
      </w:r>
      <w:r>
        <w:rPr>
          <w:rFonts w:ascii="Calibri" w:hAnsi="Calibri" w:eastAsia="宋体" w:cs="Times New Roman"/>
          <w:snapToGrid/>
          <w:color w:val="auto"/>
          <w:kern w:val="2"/>
          <w:sz w:val="24"/>
          <w:szCs w:val="24"/>
          <w:lang w:eastAsia="zh-CN"/>
        </w:rPr>
        <w:t>所有参加磋商的供应商。</w:t>
      </w:r>
      <w:r>
        <w:rPr>
          <w:rFonts w:hint="eastAsia" w:ascii="Calibri" w:hAnsi="Calibri" w:eastAsia="宋体" w:cs="Times New Roman"/>
          <w:snapToGrid/>
          <w:color w:val="auto"/>
          <w:kern w:val="2"/>
          <w:sz w:val="24"/>
          <w:szCs w:val="24"/>
          <w:lang w:eastAsia="zh-CN"/>
        </w:rPr>
        <w:t>具体磋商内容由磋商小组根据磋商实际情况确定。</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w:t>
      </w:r>
      <w:r>
        <w:rPr>
          <w:rFonts w:ascii="宋体" w:hAnsi="宋体" w:eastAsia="宋体" w:cs="宋体"/>
          <w:sz w:val="24"/>
          <w:szCs w:val="24"/>
          <w:lang w:eastAsia="zh-CN"/>
        </w:rPr>
        <w:t>.4</w:t>
      </w:r>
      <w:r>
        <w:rPr>
          <w:rFonts w:hint="eastAsia" w:ascii="宋体" w:hAnsi="宋体" w:eastAsia="宋体" w:cs="宋体"/>
          <w:sz w:val="24"/>
          <w:szCs w:val="24"/>
          <w:lang w:eastAsia="zh-CN"/>
        </w:rPr>
        <w:t xml:space="preserve"> 供应商应当按照竞争性磋商文件的变动情况和磋商小组的要求，通过评标系统以在线形式提交承诺，并用CA或电子营业执照签章。</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ascii="宋体" w:hAnsi="宋体" w:eastAsia="宋体" w:cs="宋体"/>
          <w:sz w:val="24"/>
          <w:szCs w:val="24"/>
          <w:lang w:eastAsia="zh-CN"/>
        </w:rPr>
        <w:t>.5</w:t>
      </w:r>
      <w:r>
        <w:rPr>
          <w:rFonts w:hint="eastAsia" w:ascii="Calibri" w:hAnsi="Calibri" w:eastAsia="宋体" w:cs="宋体"/>
          <w:sz w:val="24"/>
          <w:szCs w:val="24"/>
          <w:lang w:eastAsia="zh-CN"/>
        </w:rPr>
        <w:t xml:space="preserve"> </w:t>
      </w:r>
      <w:r>
        <w:rPr>
          <w:rFonts w:ascii="宋体" w:hAnsi="宋体" w:eastAsia="宋体" w:cs="宋体"/>
          <w:sz w:val="24"/>
          <w:szCs w:val="24"/>
          <w:lang w:eastAsia="zh-CN"/>
        </w:rPr>
        <w:t>响应文件的澄清、说明或者更正：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.5.1</w:t>
      </w:r>
      <w:r>
        <w:rPr>
          <w:rFonts w:hint="eastAsia" w:ascii="Calibri" w:hAnsi="Calibri" w:eastAsia="宋体" w:cs="宋体"/>
          <w:sz w:val="24"/>
          <w:szCs w:val="24"/>
          <w:lang w:eastAsia="zh-CN"/>
        </w:rPr>
        <w:t xml:space="preserve"> </w:t>
      </w:r>
      <w:r>
        <w:rPr>
          <w:rFonts w:hint="eastAsia" w:ascii="宋体" w:hAnsi="宋体" w:eastAsia="宋体" w:cs="宋体"/>
          <w:sz w:val="24"/>
          <w:szCs w:val="24"/>
          <w:lang w:eastAsia="zh-CN"/>
        </w:rPr>
        <w:t>磋商小组在对响应文件的有效性、完整性和响应程度进行审查时，可以要求供应商对响应文件中含义不明确、同类问题表述不一致或者有明显文字和计算错误的内容等作出必要的澄清、说明或者更正。</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w:t>
      </w:r>
      <w:r>
        <w:rPr>
          <w:rFonts w:hint="eastAsia" w:ascii="宋体" w:hAnsi="宋体" w:eastAsia="宋体" w:cs="宋体"/>
          <w:sz w:val="24"/>
          <w:szCs w:val="24"/>
          <w:lang w:eastAsia="zh-CN"/>
        </w:rPr>
        <w:t>.5.</w:t>
      </w:r>
      <w:r>
        <w:rPr>
          <w:rFonts w:hint="eastAsia" w:ascii="Calibri" w:hAnsi="Calibri" w:eastAsia="宋体" w:cs="宋体"/>
          <w:sz w:val="24"/>
          <w:szCs w:val="24"/>
          <w:lang w:eastAsia="zh-CN"/>
        </w:rPr>
        <w:t xml:space="preserve">2 </w:t>
      </w:r>
      <w:r>
        <w:rPr>
          <w:rFonts w:hint="eastAsia" w:ascii="宋体" w:hAnsi="宋体" w:eastAsia="宋体" w:cs="宋体"/>
          <w:sz w:val="24"/>
          <w:szCs w:val="24"/>
          <w:lang w:eastAsia="zh-CN"/>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ascii="Calibri" w:hAnsi="Calibri" w:eastAsia="宋体" w:cs="宋体"/>
          <w:sz w:val="24"/>
          <w:szCs w:val="24"/>
          <w:lang w:eastAsia="zh-CN"/>
        </w:rPr>
        <w:t>、</w:t>
      </w:r>
      <w:r>
        <w:rPr>
          <w:rFonts w:hint="eastAsia" w:ascii="宋体" w:hAnsi="宋体" w:eastAsia="宋体" w:cs="宋体"/>
          <w:sz w:val="24"/>
          <w:szCs w:val="24"/>
          <w:lang w:eastAsia="zh-CN"/>
        </w:rPr>
        <w:t>加盖公章。供应商为自然人的，应当由本人签字并附身份证明。澄清、说明或者更正文件将作为响应文件内容的一部分。</w:t>
      </w:r>
    </w:p>
    <w:p>
      <w:pPr>
        <w:widowControl w:val="0"/>
        <w:kinsoku/>
        <w:wordWrap w:val="0"/>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z w:val="24"/>
          <w:szCs w:val="24"/>
          <w:lang w:eastAsia="zh-CN"/>
        </w:rPr>
        <w:t>6.6 磋商结束后，磋商小组通过电子评标系统向所有实质性响应的供应商发出要求最后报价要求，各供应商在会员系统中收到有关信息后，必须在规定时间内给出答复，并在签章后提交。提交最后报价的供应商不得少于3家。《</w:t>
      </w:r>
      <w:r>
        <w:rPr>
          <w:rFonts w:hint="eastAsia" w:ascii="宋体" w:hAnsi="宋体" w:eastAsia="宋体" w:cs="宋体"/>
          <w:spacing w:val="-2"/>
          <w:sz w:val="24"/>
          <w:szCs w:val="24"/>
          <w:lang w:eastAsia="zh-CN"/>
        </w:rPr>
        <w:t>政府采购竞争性磋商采购方式管理暂行办法</w:t>
      </w:r>
      <w:r>
        <w:rPr>
          <w:rFonts w:hint="eastAsia" w:ascii="宋体" w:hAnsi="宋体" w:eastAsia="宋体" w:cs="宋体"/>
          <w:sz w:val="24"/>
          <w:szCs w:val="24"/>
          <w:lang w:eastAsia="zh-CN"/>
        </w:rPr>
        <w:t>》第三条第四项规定的情形除外。最后报价是响应文件的有效组成部分。</w:t>
      </w:r>
    </w:p>
    <w:p>
      <w:pPr>
        <w:widowControl w:val="0"/>
        <w:kinsoku/>
        <w:wordWrap w:val="0"/>
        <w:autoSpaceDE/>
        <w:autoSpaceDN/>
        <w:adjustRightInd/>
        <w:snapToGrid/>
        <w:spacing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宋体" w:hAnsi="宋体" w:eastAsia="宋体" w:cs="宋体"/>
          <w:sz w:val="24"/>
          <w:szCs w:val="24"/>
          <w:lang w:eastAsia="zh-CN"/>
        </w:rPr>
        <w:t>6.7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6.8 已提交响应文件的供应商，在提交最后报价之前，可以根据磋商情况退出磋商。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7.最后报价的算术修正及政策调整</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最后报价须包含竞争性磋商文件全部内容，最后报价出现大写金额和小写金额不一致的，以大写金额为准。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8.评审方法和评审标准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8.1 本项目采用的评审方法为：综合评分法。综合评分法，是指响应文件满足磋商文件全部实质性要求且按评审因素的量化指标评审得分最高的供应商为成交候选供应商的评审方法。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8.2 竞争性磋商文件中没有规定的评审标准不得作为评审依据。</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8.3 非政府强制采购的节能产品或环境标志产品，依据品目清单和认证证书实施政府优先采购。优先采购的具体规定（如涉及）。</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8.4 关于无线局域网认证产品政府采购清单中的产品，优先采购的具体规定（如涉及）</w:t>
      </w:r>
      <w:r>
        <w:rPr>
          <w:rFonts w:ascii="Calibri" w:hAnsi="Calibri" w:eastAsia="宋体" w:cs="Times New Roman"/>
          <w:snapToGrid/>
          <w:color w:val="auto"/>
          <w:spacing w:val="-25"/>
          <w:kern w:val="2"/>
          <w:sz w:val="24"/>
          <w:szCs w:val="24"/>
          <w:lang w:eastAsia="zh-CN"/>
        </w:rPr>
        <w:t>。</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9.确定成交候选人名单</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9.1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widowControl w:val="0"/>
        <w:kinsoku/>
        <w:wordWrap w:val="0"/>
        <w:autoSpaceDE/>
        <w:autoSpaceDN/>
        <w:adjustRightInd/>
        <w:snapToGrid/>
        <w:spacing w:after="120" w:line="360" w:lineRule="auto"/>
        <w:ind w:firstLine="482" w:firstLineChars="200"/>
        <w:jc w:val="both"/>
        <w:textAlignment w:val="auto"/>
        <w:rPr>
          <w:rFonts w:ascii="Calibri" w:hAnsi="Calibri" w:eastAsia="宋体" w:cs="Times New Roman"/>
          <w:b/>
          <w:bCs/>
          <w:snapToGrid/>
          <w:color w:val="auto"/>
          <w:kern w:val="2"/>
          <w:sz w:val="24"/>
          <w:szCs w:val="24"/>
          <w:lang w:eastAsia="zh-CN"/>
        </w:rPr>
      </w:pPr>
      <w:r>
        <w:rPr>
          <w:rFonts w:hint="eastAsia" w:ascii="Calibri" w:hAnsi="Calibri" w:eastAsia="宋体" w:cs="宋体"/>
          <w:b/>
          <w:bCs/>
          <w:sz w:val="24"/>
          <w:szCs w:val="24"/>
          <w:lang w:eastAsia="zh-CN"/>
        </w:rPr>
        <w:t>9.2 磋商小组要对评分汇总情况进行复核，特别是对排名第一的、报价最低的、响应文件被认定为无效的情形进行重点复核。</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宋体"/>
          <w:sz w:val="24"/>
          <w:szCs w:val="24"/>
          <w:lang w:eastAsia="zh-CN"/>
        </w:rPr>
      </w:pPr>
      <w:r>
        <w:rPr>
          <w:rFonts w:hint="eastAsia" w:ascii="Calibri" w:hAnsi="Calibri" w:eastAsia="宋体" w:cs="宋体"/>
          <w:sz w:val="24"/>
          <w:szCs w:val="24"/>
          <w:lang w:eastAsia="zh-CN"/>
        </w:rPr>
        <w:t>9.3 ☑ 磋商小组根据上述供应商排序，依次推荐排序前3名的供应商为成交候选供应商。采购人应当自收到评审报告之日起5个工作日内在评审报告推荐的成交候选人中按顺序确定成交供应商。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□采购人书面授权磋商小组直接确定成交供应商。</w:t>
      </w:r>
    </w:p>
    <w:p>
      <w:pPr>
        <w:widowControl w:val="0"/>
        <w:kinsoku/>
        <w:wordWrap w:val="0"/>
        <w:autoSpaceDE/>
        <w:autoSpaceDN/>
        <w:adjustRightInd/>
        <w:snapToGrid/>
        <w:spacing w:after="120" w:line="360" w:lineRule="auto"/>
        <w:ind w:firstLine="480" w:firstLineChars="200"/>
        <w:jc w:val="both"/>
        <w:textAlignment w:val="auto"/>
        <w:rPr>
          <w:rFonts w:ascii="Calibri" w:hAnsi="Calibri" w:eastAsia="宋体" w:cs="Times New Roman"/>
          <w:snapToGrid/>
          <w:color w:val="auto"/>
          <w:kern w:val="2"/>
          <w:sz w:val="24"/>
          <w:szCs w:val="24"/>
          <w:lang w:eastAsia="zh-CN"/>
        </w:rPr>
      </w:pPr>
      <w:r>
        <w:rPr>
          <w:rFonts w:hint="eastAsia" w:ascii="Calibri" w:hAnsi="Calibri" w:eastAsia="宋体" w:cs="宋体"/>
          <w:sz w:val="24"/>
          <w:szCs w:val="24"/>
          <w:lang w:eastAsia="zh-CN"/>
        </w:rPr>
        <w:t>10.报告违法行为</w:t>
      </w:r>
    </w:p>
    <w:p>
      <w:pPr>
        <w:widowControl w:val="0"/>
        <w:kinsoku/>
        <w:wordWrap w:val="0"/>
        <w:autoSpaceDE/>
        <w:autoSpaceDN/>
        <w:adjustRightInd/>
        <w:snapToGrid/>
        <w:spacing w:after="120" w:line="360" w:lineRule="auto"/>
        <w:ind w:firstLine="480" w:firstLineChars="200"/>
        <w:jc w:val="both"/>
        <w:textAlignment w:val="auto"/>
        <w:rPr>
          <w:rFonts w:hAnsi="Calibri" w:eastAsia="宋体" w:cs="Times New Roman"/>
          <w:snapToGrid/>
          <w:color w:val="auto"/>
          <w:kern w:val="2"/>
          <w:szCs w:val="24"/>
          <w:lang w:eastAsia="zh-CN"/>
        </w:rPr>
      </w:pPr>
      <w:r>
        <w:rPr>
          <w:rFonts w:hint="eastAsia" w:ascii="Calibri" w:hAnsi="Calibri" w:eastAsia="宋体" w:cs="宋体"/>
          <w:sz w:val="24"/>
          <w:szCs w:val="24"/>
          <w:lang w:eastAsia="zh-CN"/>
        </w:rPr>
        <w:t>10.1 磋商小组在评审过程中发现供应商有行贿、提供虚假材料或者串通等违法行为时，有向采购人、采购代理机构或者有关部门报告的职责。</w:t>
      </w:r>
    </w:p>
    <w:p>
      <w:pPr>
        <w:widowControl w:val="0"/>
        <w:kinsoku/>
        <w:wordWrap w:val="0"/>
        <w:autoSpaceDE/>
        <w:autoSpaceDN/>
        <w:adjustRightInd/>
        <w:snapToGrid/>
        <w:spacing w:before="78" w:after="120" w:line="221" w:lineRule="auto"/>
        <w:jc w:val="center"/>
        <w:textAlignment w:val="auto"/>
        <w:outlineLvl w:val="1"/>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pPr>
      <w:r>
        <w:rPr>
          <w:rFonts w:ascii="Calibri" w:hAnsi="Calibri" w:eastAsia="宋体" w:cs="Times New Roman"/>
          <w:snapToGrid/>
          <w:color w:val="auto"/>
          <w:spacing w:val="-2"/>
          <w:kern w:val="2"/>
          <w:sz w:val="24"/>
          <w:szCs w:val="24"/>
          <w:lang w:eastAsia="zh-CN"/>
          <w14:textOutline w14:w="1536" w14:cap="flat" w14:cmpd="sng" w14:algn="ctr">
            <w14:solidFill>
              <w14:srgbClr w14:val="000000"/>
            </w14:solidFill>
            <w14:prstDash w14:val="solid"/>
            <w14:miter w14:val="0"/>
          </w14:textOutline>
        </w:rPr>
        <w:t>评审标准</w:t>
      </w:r>
    </w:p>
    <w:p>
      <w:pPr>
        <w:widowControl w:val="0"/>
        <w:kinsoku/>
        <w:snapToGrid/>
        <w:textAlignment w:val="auto"/>
        <w:rPr>
          <w:rFonts w:ascii="宋体" w:hAnsi="Times New Roman" w:eastAsia="宋体" w:cs="宋体"/>
          <w:snapToGrid/>
          <w:sz w:val="24"/>
          <w:szCs w:val="24"/>
          <w:lang w:eastAsia="zh-CN"/>
        </w:rPr>
      </w:pPr>
    </w:p>
    <w:tbl>
      <w:tblPr>
        <w:tblStyle w:val="38"/>
        <w:tblW w:w="91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449"/>
        <w:gridCol w:w="751"/>
        <w:gridCol w:w="1228"/>
        <w:gridCol w:w="4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761" w:type="dxa"/>
          </w:tcPr>
          <w:p>
            <w:pPr>
              <w:widowControl w:val="0"/>
              <w:kinsoku/>
              <w:wordWrap w:val="0"/>
              <w:autoSpaceDE/>
              <w:autoSpaceDN/>
              <w:adjustRightInd/>
              <w:snapToGrid/>
              <w:spacing w:before="40" w:line="208" w:lineRule="auto"/>
              <w:ind w:left="19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14:textOutline w14:w="1536" w14:cap="flat" w14:cmpd="sng" w14:algn="ctr">
                  <w14:solidFill>
                    <w14:srgbClr w14:val="000000"/>
                  </w14:solidFill>
                  <w14:prstDash w14:val="solid"/>
                  <w14:miter w14:val="0"/>
                </w14:textOutline>
              </w:rPr>
              <w:t>序号</w:t>
            </w:r>
          </w:p>
        </w:tc>
        <w:tc>
          <w:tcPr>
            <w:tcW w:w="1449" w:type="dxa"/>
          </w:tcPr>
          <w:p>
            <w:pPr>
              <w:widowControl w:val="0"/>
              <w:kinsoku/>
              <w:wordWrap w:val="0"/>
              <w:autoSpaceDE/>
              <w:autoSpaceDN/>
              <w:adjustRightInd/>
              <w:snapToGrid/>
              <w:spacing w:before="40" w:line="208" w:lineRule="auto"/>
              <w:ind w:left="26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评分因素</w:t>
            </w:r>
          </w:p>
        </w:tc>
        <w:tc>
          <w:tcPr>
            <w:tcW w:w="751" w:type="dxa"/>
          </w:tcPr>
          <w:p>
            <w:pPr>
              <w:widowControl w:val="0"/>
              <w:kinsoku/>
              <w:wordWrap w:val="0"/>
              <w:autoSpaceDE/>
              <w:autoSpaceDN/>
              <w:adjustRightInd/>
              <w:snapToGrid/>
              <w:spacing w:before="40" w:line="208" w:lineRule="auto"/>
              <w:ind w:firstLine="232" w:firstLineChars="100"/>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4"/>
                <w:kern w:val="2"/>
                <w:sz w:val="24"/>
                <w:szCs w:val="24"/>
                <w:lang w:eastAsia="zh-CN"/>
                <w14:textOutline w14:w="1536" w14:cap="flat" w14:cmpd="sng" w14:algn="ctr">
                  <w14:solidFill>
                    <w14:srgbClr w14:val="000000"/>
                  </w14:solidFill>
                  <w14:prstDash w14:val="solid"/>
                  <w14:miter w14:val="0"/>
                </w14:textOutline>
              </w:rPr>
              <w:t>分值</w:t>
            </w:r>
          </w:p>
        </w:tc>
        <w:tc>
          <w:tcPr>
            <w:tcW w:w="6178" w:type="dxa"/>
            <w:gridSpan w:val="2"/>
          </w:tcPr>
          <w:p>
            <w:pPr>
              <w:widowControl w:val="0"/>
              <w:kinsoku/>
              <w:wordWrap w:val="0"/>
              <w:autoSpaceDE/>
              <w:autoSpaceDN/>
              <w:adjustRightInd/>
              <w:snapToGrid/>
              <w:spacing w:before="40" w:line="208"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14:textOutline w14:w="1536" w14:cap="flat" w14:cmpd="sng" w14:algn="ctr">
                  <w14:solidFill>
                    <w14:srgbClr w14:val="000000"/>
                  </w14:solidFill>
                  <w14:prstDash w14:val="solid"/>
                  <w14:miter w14:val="0"/>
                </w14:textOutline>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9" w:hRule="atLeast"/>
        </w:trPr>
        <w:tc>
          <w:tcPr>
            <w:tcW w:w="761" w:type="dxa"/>
            <w:vAlign w:val="center"/>
          </w:tcPr>
          <w:p>
            <w:pPr>
              <w:kinsoku/>
              <w:wordWrap w:val="0"/>
              <w:jc w:val="center"/>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r>
              <w:rPr>
                <w:rFonts w:hint="eastAsia" w:ascii="宋体" w:hAnsi="宋体" w:eastAsia="宋体" w:cs="宋体"/>
                <w:lang w:eastAsia="zh-CN"/>
              </w:rPr>
              <w:t>1</w:t>
            </w:r>
          </w:p>
        </w:tc>
        <w:tc>
          <w:tcPr>
            <w:tcW w:w="1449" w:type="dxa"/>
            <w:vAlign w:val="center"/>
          </w:tcPr>
          <w:p>
            <w:pPr>
              <w:kinsoku/>
              <w:wordWrap w:val="0"/>
              <w:spacing w:line="295" w:lineRule="auto"/>
              <w:jc w:val="both"/>
              <w:rPr>
                <w:rFonts w:hint="eastAsia" w:ascii="宋体" w:hAnsi="宋体" w:eastAsia="宋体" w:cs="宋体"/>
              </w:rPr>
            </w:pPr>
          </w:p>
          <w:p>
            <w:pPr>
              <w:widowControl w:val="0"/>
              <w:kinsoku/>
              <w:wordWrap w:val="0"/>
              <w:autoSpaceDE/>
              <w:autoSpaceDN/>
              <w:adjustRightInd/>
              <w:snapToGrid/>
              <w:spacing w:before="78" w:line="219" w:lineRule="auto"/>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磋商报价</w:t>
            </w:r>
          </w:p>
        </w:tc>
        <w:tc>
          <w:tcPr>
            <w:tcW w:w="751" w:type="dxa"/>
          </w:tcPr>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10" w:firstLineChars="100"/>
              <w:jc w:val="both"/>
              <w:rPr>
                <w:rFonts w:hint="eastAsia" w:ascii="宋体" w:hAnsi="宋体" w:eastAsia="宋体" w:cs="宋体"/>
                <w:lang w:eastAsia="zh-CN"/>
              </w:rPr>
            </w:pPr>
          </w:p>
          <w:p>
            <w:pPr>
              <w:kinsoku/>
              <w:wordWrap w:val="0"/>
              <w:ind w:firstLine="240" w:firstLineChars="100"/>
              <w:jc w:val="both"/>
              <w:rPr>
                <w:rFonts w:hint="eastAsia" w:ascii="宋体" w:hAnsi="宋体" w:eastAsia="宋体" w:cs="宋体"/>
              </w:rPr>
            </w:pPr>
            <w:r>
              <w:rPr>
                <w:rFonts w:hint="eastAsia" w:ascii="宋体" w:hAnsi="宋体" w:eastAsia="宋体" w:cs="宋体"/>
                <w:sz w:val="24"/>
                <w:szCs w:val="24"/>
                <w:lang w:eastAsia="zh-CN"/>
              </w:rPr>
              <w:t>30分</w:t>
            </w:r>
          </w:p>
        </w:tc>
        <w:tc>
          <w:tcPr>
            <w:tcW w:w="6178" w:type="dxa"/>
            <w:gridSpan w:val="2"/>
          </w:tcPr>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满足招标文件要求且投标价格最低的投标报价为评标基准价，其价格分为满分30分，其他投标人的价格分按照下列公式计算： </w:t>
            </w:r>
          </w:p>
          <w:p>
            <w:pPr>
              <w:spacing w:line="360" w:lineRule="auto"/>
              <w:ind w:firstLine="480" w:firstLineChars="200"/>
              <w:rPr>
                <w:rFonts w:ascii="宋体" w:hAnsi="宋体" w:cs="宋体"/>
                <w:kern w:val="2"/>
                <w:sz w:val="24"/>
                <w:szCs w:val="24"/>
                <w:lang w:eastAsia="zh-CN"/>
              </w:rPr>
            </w:pPr>
            <w:r>
              <w:rPr>
                <w:rFonts w:hint="eastAsia" w:ascii="宋体" w:hAnsi="宋体" w:cs="宋体"/>
                <w:kern w:val="2"/>
                <w:sz w:val="24"/>
                <w:szCs w:val="24"/>
                <w:lang w:eastAsia="zh-CN"/>
              </w:rPr>
              <w:t xml:space="preserve">报价得分=（评标基准价/投标报价）×30%×100 </w:t>
            </w:r>
          </w:p>
          <w:p>
            <w:pPr>
              <w:spacing w:line="360" w:lineRule="auto"/>
              <w:ind w:firstLine="480" w:firstLineChars="200"/>
              <w:rPr>
                <w:rFonts w:hint="eastAsia" w:ascii="宋体" w:hAnsi="宋体" w:eastAsia="宋体" w:cs="宋体"/>
                <w:snapToGrid/>
                <w:color w:val="auto"/>
                <w:kern w:val="2"/>
                <w:sz w:val="24"/>
                <w:szCs w:val="24"/>
                <w:lang w:eastAsia="zh-CN"/>
              </w:rPr>
            </w:pPr>
            <w:r>
              <w:rPr>
                <w:rFonts w:hint="eastAsia" w:ascii="宋体" w:hAnsi="宋体" w:cs="宋体"/>
                <w:kern w:val="2"/>
                <w:sz w:val="24"/>
                <w:szCs w:val="24"/>
                <w:lang w:eastAsia="zh-CN"/>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10%后参与评审。参与优惠企业的报价=投标报价*（1-10%）。对于同时属于小微企业、监狱企业或残疾人福利性单位的，不重复进行投标报价扣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restart"/>
            <w:vAlign w:val="center"/>
          </w:tcPr>
          <w:p>
            <w:pPr>
              <w:kinsoku/>
              <w:wordWrap w:val="0"/>
              <w:jc w:val="center"/>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2</w:t>
            </w:r>
          </w:p>
        </w:tc>
        <w:tc>
          <w:tcPr>
            <w:tcW w:w="1449" w:type="dxa"/>
            <w:vMerge w:val="restart"/>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napToGrid/>
                <w:color w:val="auto"/>
                <w:spacing w:val="-13"/>
                <w:kern w:val="2"/>
                <w:sz w:val="24"/>
                <w:szCs w:val="24"/>
                <w:lang w:eastAsia="zh-CN"/>
              </w:rPr>
            </w:pPr>
            <w:r>
              <w:rPr>
                <w:rFonts w:hint="eastAsia" w:ascii="宋体" w:hAnsi="宋体" w:eastAsia="宋体" w:cs="宋体"/>
                <w:spacing w:val="-13"/>
                <w:sz w:val="24"/>
                <w:szCs w:val="24"/>
                <w:lang w:eastAsia="zh-CN"/>
              </w:rPr>
              <w:t>技术部分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50分</w:t>
            </w:r>
          </w:p>
        </w:tc>
        <w:tc>
          <w:tcPr>
            <w:tcW w:w="1228" w:type="dxa"/>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r>
              <w:rPr>
                <w:rFonts w:hint="eastAsia" w:ascii="宋体" w:hAnsi="宋体" w:eastAsia="宋体" w:cs="宋体"/>
                <w:snapToGrid/>
                <w:color w:val="auto"/>
                <w:sz w:val="24"/>
                <w:szCs w:val="24"/>
                <w:lang w:eastAsia="zh-CN" w:bidi="ar"/>
              </w:rPr>
              <w:t>技术指标响应情况</w:t>
            </w:r>
          </w:p>
          <w:p>
            <w:pPr>
              <w:kinsoku/>
              <w:wordWrap w:val="0"/>
              <w:spacing w:before="26" w:line="228" w:lineRule="auto"/>
              <w:ind w:left="111" w:right="103" w:firstLine="4"/>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（3</w:t>
            </w:r>
            <w:r>
              <w:rPr>
                <w:rFonts w:hint="eastAsia" w:ascii="宋体" w:hAnsi="宋体" w:cs="宋体"/>
                <w:color w:val="auto"/>
                <w:sz w:val="24"/>
                <w:szCs w:val="24"/>
                <w:lang w:eastAsia="zh-CN"/>
              </w:rPr>
              <w:t>0</w:t>
            </w:r>
            <w:r>
              <w:rPr>
                <w:rFonts w:hint="eastAsia" w:ascii="宋体" w:hAnsi="宋体" w:eastAsia="宋体" w:cs="宋体"/>
                <w:color w:val="auto"/>
                <w:sz w:val="24"/>
                <w:szCs w:val="24"/>
                <w:lang w:eastAsia="zh-CN"/>
              </w:rPr>
              <w:t>分）</w:t>
            </w:r>
          </w:p>
        </w:tc>
        <w:tc>
          <w:tcPr>
            <w:tcW w:w="4950" w:type="dxa"/>
            <w:vAlign w:val="center"/>
          </w:tcPr>
          <w:p>
            <w:pPr>
              <w:widowControl w:val="0"/>
              <w:kinsoku/>
              <w:autoSpaceDE/>
              <w:autoSpaceDN/>
              <w:adjustRightInd/>
              <w:snapToGrid/>
              <w:spacing w:line="460" w:lineRule="exact"/>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评标委员会根据各供应商所投产品的技术响应情况进行评价，完全满足招标文件要求得30分。</w:t>
            </w:r>
          </w:p>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技术参数与招标文件有负偏差，或未达到招标文件要求指标的每有一项扣</w:t>
            </w:r>
            <w:r>
              <w:rPr>
                <w:rFonts w:hint="eastAsia"/>
                <w:color w:val="auto"/>
                <w:sz w:val="24"/>
                <w:szCs w:val="24"/>
                <w:lang w:eastAsia="zh-CN"/>
              </w:rPr>
              <w:t xml:space="preserve"> </w:t>
            </w:r>
            <w:r>
              <w:rPr>
                <w:rFonts w:hint="eastAsia" w:ascii="宋体" w:hAnsi="宋体" w:eastAsia="宋体"/>
                <w:color w:val="auto"/>
                <w:sz w:val="24"/>
                <w:szCs w:val="24"/>
                <w:lang w:eastAsia="zh-CN"/>
              </w:rPr>
              <w:t>3</w:t>
            </w:r>
            <w:r>
              <w:rPr>
                <w:rFonts w:hint="eastAsia" w:ascii="宋体" w:hAnsi="宋体" w:eastAsia="宋体" w:cs="宋体"/>
                <w:color w:val="auto"/>
                <w:sz w:val="24"/>
                <w:szCs w:val="24"/>
                <w:lang w:eastAsia="zh-CN"/>
              </w:rPr>
              <w:t>分，扣完为止。（投标人须提供相关的产品说明书或检测报告或技术产品彩页或技术白皮书或认证证书作为参数支撑材料，以投标文件中加盖供应商公章的清晰复印件为准（如技术参数中有要求的证明文件，以技术参数中需提供的证明文件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项目实施方案</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5</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根据供应商提供的设备供货、安装、调试、验收方案进行评审，方案完善、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不提供实施方案的不得分。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售后服务计划</w:t>
            </w: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根据供应商提供的售后服务计划（售后服务计划可行性、响应时间、到达现场时间、质保期及免费升级时间等）进行评审，方案完善、</w:t>
            </w:r>
            <w:r>
              <w:rPr>
                <w:rFonts w:hint="eastAsia" w:ascii="宋体" w:hAnsi="宋体" w:eastAsia="宋体" w:cs="宋体"/>
                <w:color w:val="auto"/>
                <w:sz w:val="24"/>
                <w:lang w:eastAsia="zh-CN"/>
              </w:rPr>
              <w:t>合理、可行：优：5分，良：3分，一般：1分。</w:t>
            </w:r>
            <w:r>
              <w:rPr>
                <w:rFonts w:hint="eastAsia" w:ascii="宋体" w:hAnsi="宋体" w:eastAsia="宋体"/>
                <w:color w:val="000000" w:themeColor="text1"/>
                <w:lang w:eastAsia="zh-CN"/>
                <w14:textFill>
                  <w14:solidFill>
                    <w14:schemeClr w14:val="tx1"/>
                  </w14:solidFill>
                </w14:textFill>
              </w:rPr>
              <w:t>没有售后服务计划的不得分。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培训方案</w:t>
            </w: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color w:val="auto"/>
                <w:sz w:val="24"/>
                <w:szCs w:val="24"/>
                <w:lang w:eastAsia="zh-CN"/>
              </w:rPr>
              <w:t>（5分）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根据供应商提供的培训方案（现场培训服务、培训方式）进行评审，方案完善、</w:t>
            </w:r>
            <w:r>
              <w:rPr>
                <w:rFonts w:hint="eastAsia" w:ascii="宋体" w:hAnsi="宋体" w:eastAsia="宋体" w:cs="宋体"/>
                <w:color w:val="auto"/>
                <w:sz w:val="24"/>
                <w:lang w:eastAsia="zh-CN"/>
              </w:rPr>
              <w:t>合理、可行：优：5分，良：3分，一般：1分。不提供培训方案的不得分。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61" w:type="dxa"/>
            <w:vMerge w:val="continue"/>
            <w:vAlign w:val="center"/>
          </w:tcPr>
          <w:p>
            <w:pPr>
              <w:kinsoku/>
              <w:wordWrap w:val="0"/>
              <w:jc w:val="center"/>
              <w:rPr>
                <w:rFonts w:hint="eastAsia" w:ascii="宋体" w:hAnsi="宋体" w:eastAsia="宋体" w:cs="宋体"/>
                <w:spacing w:val="-13"/>
                <w:sz w:val="24"/>
                <w:szCs w:val="24"/>
                <w:lang w:eastAsia="zh-CN"/>
              </w:rPr>
            </w:pPr>
          </w:p>
        </w:tc>
        <w:tc>
          <w:tcPr>
            <w:tcW w:w="1449" w:type="dxa"/>
            <w:vMerge w:val="continue"/>
            <w:vAlign w:val="center"/>
          </w:tcPr>
          <w:p>
            <w:pPr>
              <w:widowControl w:val="0"/>
              <w:kinsoku/>
              <w:wordWrap w:val="0"/>
              <w:autoSpaceDE/>
              <w:autoSpaceDN/>
              <w:adjustRightInd/>
              <w:snapToGrid/>
              <w:spacing w:before="78" w:line="219" w:lineRule="auto"/>
              <w:ind w:firstLine="214" w:firstLineChars="100"/>
              <w:jc w:val="both"/>
              <w:textAlignment w:val="auto"/>
              <w:rPr>
                <w:rFonts w:hint="eastAsia" w:ascii="宋体" w:hAnsi="宋体" w:eastAsia="宋体" w:cs="宋体"/>
                <w:spacing w:val="-13"/>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widowControl w:val="0"/>
              <w:kinsoku/>
              <w:autoSpaceDE/>
              <w:autoSpaceDN/>
              <w:adjustRightInd/>
              <w:snapToGrid/>
              <w:spacing w:line="460" w:lineRule="exact"/>
              <w:jc w:val="center"/>
              <w:textAlignment w:val="auto"/>
              <w:rPr>
                <w:rFonts w:hint="eastAsia" w:ascii="宋体" w:hAnsi="宋体" w:eastAsia="宋体" w:cs="宋体"/>
                <w:snapToGrid/>
                <w:color w:val="auto"/>
                <w:kern w:val="2"/>
                <w:sz w:val="24"/>
                <w:szCs w:val="22"/>
                <w:lang w:eastAsia="zh-CN"/>
              </w:rPr>
            </w:pPr>
            <w:r>
              <w:rPr>
                <w:rFonts w:hint="eastAsia" w:ascii="宋体" w:hAnsi="宋体" w:eastAsia="宋体" w:cs="宋体"/>
                <w:snapToGrid/>
                <w:color w:val="auto"/>
                <w:kern w:val="2"/>
                <w:sz w:val="24"/>
                <w:szCs w:val="22"/>
                <w:lang w:eastAsia="zh-CN"/>
              </w:rPr>
              <w:t>项目重点难点分析（5分）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lang w:eastAsia="zh-CN"/>
              </w:rPr>
              <w:t>针对项目重点难点分析，所应对规避措施，合理化建议等内容进行打分，优：5分，良：3分，一般：1分。</w:t>
            </w:r>
            <w:r>
              <w:rPr>
                <w:rFonts w:hint="eastAsia" w:ascii="宋体" w:hAnsi="宋体" w:eastAsia="宋体"/>
                <w:color w:val="000000" w:themeColor="text1"/>
                <w:lang w:eastAsia="zh-CN"/>
                <w14:textFill>
                  <w14:solidFill>
                    <w14:schemeClr w14:val="tx1"/>
                  </w14:solidFill>
                </w14:textFill>
              </w:rPr>
              <w:t>没有的不得分。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restart"/>
            <w:vAlign w:val="center"/>
          </w:tcPr>
          <w:p>
            <w:pPr>
              <w:kinsoku/>
              <w:wordWrap w:val="0"/>
              <w:jc w:val="center"/>
              <w:rPr>
                <w:rFonts w:hint="eastAsia" w:ascii="宋体" w:hAnsi="宋体" w:eastAsia="宋体" w:cs="宋体"/>
                <w:lang w:eastAsia="zh-CN"/>
              </w:rPr>
            </w:pPr>
            <w:r>
              <w:rPr>
                <w:rFonts w:hint="eastAsia" w:ascii="宋体" w:hAnsi="宋体" w:eastAsia="宋体" w:cs="宋体"/>
                <w:lang w:eastAsia="zh-CN"/>
              </w:rPr>
              <w:t>3</w:t>
            </w:r>
          </w:p>
        </w:tc>
        <w:tc>
          <w:tcPr>
            <w:tcW w:w="1449" w:type="dxa"/>
            <w:vMerge w:val="restart"/>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2"/>
                <w:kern w:val="2"/>
                <w:sz w:val="24"/>
                <w:szCs w:val="24"/>
                <w:lang w:eastAsia="zh-CN"/>
              </w:rPr>
              <w:t>综合部分</w:t>
            </w:r>
          </w:p>
        </w:tc>
        <w:tc>
          <w:tcPr>
            <w:tcW w:w="751" w:type="dxa"/>
            <w:vMerge w:val="restart"/>
          </w:tcPr>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lang w:eastAsia="zh-CN"/>
              </w:rPr>
            </w:pPr>
          </w:p>
          <w:p>
            <w:pPr>
              <w:kinsoku/>
              <w:wordWrap w:val="0"/>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20分</w:t>
            </w:r>
          </w:p>
        </w:tc>
        <w:tc>
          <w:tcPr>
            <w:tcW w:w="1228" w:type="dxa"/>
          </w:tcPr>
          <w:p>
            <w:pPr>
              <w:kinsoku/>
              <w:wordWrap w:val="0"/>
              <w:spacing w:before="26" w:line="228" w:lineRule="auto"/>
              <w:ind w:left="111" w:right="103" w:firstLine="4"/>
              <w:jc w:val="both"/>
              <w:rPr>
                <w:rFonts w:hint="eastAsia" w:ascii="宋体" w:hAnsi="宋体" w:eastAsia="宋体" w:cs="宋体"/>
                <w:spacing w:val="-13"/>
                <w:sz w:val="24"/>
                <w:szCs w:val="24"/>
                <w:lang w:eastAsia="zh-CN"/>
              </w:rPr>
            </w:pPr>
          </w:p>
          <w:p>
            <w:pPr>
              <w:kinsoku/>
              <w:wordWrap w:val="0"/>
              <w:spacing w:before="26" w:line="228" w:lineRule="auto"/>
              <w:ind w:left="111" w:right="103" w:firstLine="4"/>
              <w:jc w:val="both"/>
              <w:rPr>
                <w:rFonts w:hint="eastAsia" w:ascii="宋体" w:hAnsi="宋体" w:eastAsia="宋体" w:cs="宋体"/>
                <w:spacing w:val="-13"/>
                <w:sz w:val="24"/>
                <w:szCs w:val="24"/>
              </w:rPr>
            </w:pPr>
            <w:r>
              <w:rPr>
                <w:rFonts w:hint="eastAsia" w:ascii="宋体" w:hAnsi="宋体" w:eastAsia="宋体" w:cs="宋体"/>
                <w:spacing w:val="-13"/>
                <w:sz w:val="24"/>
                <w:szCs w:val="24"/>
                <w:lang w:eastAsia="zh-CN"/>
              </w:rPr>
              <w:t>信用评价（2分）</w:t>
            </w:r>
          </w:p>
        </w:tc>
        <w:tc>
          <w:tcPr>
            <w:tcW w:w="4950" w:type="dxa"/>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spacing w:val="-13"/>
                <w:sz w:val="24"/>
                <w:szCs w:val="24"/>
                <w:lang w:eastAsia="zh-CN"/>
              </w:rPr>
              <w:t>根据《南阳市政府采购信用评价实施办法》，投标人登录“南阳市政府采购信用管理系统”打印并提交《南阳市政府采购供应商信用记录表》，诚信评价为三星级的加 1 分，四星级的加 2 分，其他不得分。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Align w:val="center"/>
          </w:tcPr>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rPr>
              <w:t>企业业绩</w:t>
            </w:r>
          </w:p>
          <w:p>
            <w:pPr>
              <w:kinsoku/>
              <w:wordWrap w:val="0"/>
              <w:spacing w:before="26" w:line="228" w:lineRule="auto"/>
              <w:ind w:right="103"/>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6</w:t>
            </w:r>
            <w:r>
              <w:rPr>
                <w:rFonts w:hint="eastAsia" w:ascii="宋体" w:hAnsi="宋体" w:eastAsia="宋体" w:cs="宋体"/>
                <w:color w:val="auto"/>
                <w:sz w:val="24"/>
                <w:szCs w:val="24"/>
              </w:rPr>
              <w:t>分）</w:t>
            </w:r>
          </w:p>
        </w:tc>
        <w:tc>
          <w:tcPr>
            <w:tcW w:w="4950" w:type="dxa"/>
            <w:vAlign w:val="center"/>
          </w:tcPr>
          <w:p>
            <w:pPr>
              <w:kinsoku/>
              <w:wordWrap w:val="0"/>
              <w:spacing w:before="33" w:line="235" w:lineRule="auto"/>
              <w:ind w:left="76" w:right="23" w:firstLine="2"/>
              <w:jc w:val="both"/>
              <w:rPr>
                <w:rFonts w:hint="eastAsia" w:ascii="宋体" w:hAnsi="宋体" w:eastAsia="宋体" w:cs="宋体"/>
                <w:spacing w:val="-13"/>
                <w:sz w:val="24"/>
                <w:szCs w:val="24"/>
                <w:lang w:eastAsia="zh-CN"/>
              </w:rPr>
            </w:pPr>
            <w:r>
              <w:rPr>
                <w:rFonts w:hint="eastAsia" w:ascii="宋体" w:hAnsi="宋体" w:eastAsia="宋体" w:cs="宋体"/>
                <w:color w:val="auto"/>
                <w:sz w:val="24"/>
                <w:szCs w:val="24"/>
                <w:lang w:eastAsia="zh-CN"/>
              </w:rPr>
              <w:t>供应商</w:t>
            </w:r>
            <w:r>
              <w:rPr>
                <w:rFonts w:hint="eastAsia" w:ascii="宋体" w:hAnsi="宋体" w:cs="宋体"/>
                <w:color w:val="auto"/>
                <w:sz w:val="24"/>
                <w:szCs w:val="24"/>
                <w:lang w:eastAsia="zh-CN"/>
              </w:rPr>
              <w:t>2020</w:t>
            </w:r>
            <w:r>
              <w:rPr>
                <w:rFonts w:hint="eastAsia" w:ascii="宋体" w:hAnsi="宋体" w:eastAsia="宋体" w:cs="宋体"/>
                <w:color w:val="auto"/>
                <w:sz w:val="24"/>
                <w:szCs w:val="24"/>
                <w:lang w:eastAsia="zh-CN"/>
              </w:rPr>
              <w:t>年</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月</w:t>
            </w:r>
            <w:r>
              <w:rPr>
                <w:rFonts w:hint="eastAsia" w:ascii="宋体" w:hAnsi="宋体" w:cs="宋体"/>
                <w:color w:val="auto"/>
                <w:sz w:val="24"/>
                <w:szCs w:val="24"/>
                <w:lang w:eastAsia="zh-CN"/>
              </w:rPr>
              <w:t>1</w:t>
            </w:r>
            <w:r>
              <w:rPr>
                <w:rFonts w:hint="eastAsia" w:ascii="宋体" w:hAnsi="宋体" w:eastAsia="宋体" w:cs="宋体"/>
                <w:color w:val="auto"/>
                <w:sz w:val="24"/>
                <w:szCs w:val="24"/>
                <w:lang w:eastAsia="zh-CN"/>
              </w:rPr>
              <w:t>日以来，签订有类似业绩，每份得</w:t>
            </w:r>
            <w:r>
              <w:rPr>
                <w:rFonts w:hint="eastAsia" w:ascii="宋体" w:hAnsi="宋体" w:cs="宋体"/>
                <w:color w:val="auto"/>
                <w:sz w:val="24"/>
                <w:szCs w:val="24"/>
                <w:lang w:eastAsia="zh-CN"/>
              </w:rPr>
              <w:t>2</w:t>
            </w:r>
            <w:r>
              <w:rPr>
                <w:rFonts w:hint="eastAsia" w:ascii="宋体" w:hAnsi="宋体" w:eastAsia="宋体" w:cs="宋体"/>
                <w:color w:val="auto"/>
                <w:sz w:val="24"/>
                <w:szCs w:val="24"/>
                <w:lang w:eastAsia="zh-CN"/>
              </w:rPr>
              <w:t>分，最多得6分。（</w:t>
            </w:r>
            <w:r>
              <w:rPr>
                <w:rFonts w:hint="eastAsia" w:ascii="宋体" w:hAnsi="宋体" w:eastAsia="宋体" w:cs="宋体"/>
                <w:color w:val="auto"/>
                <w:sz w:val="24"/>
                <w:szCs w:val="24"/>
                <w:lang w:eastAsia="zh-CN" w:bidi="ar"/>
              </w:rPr>
              <w:t>以企业诚信库中上传</w:t>
            </w:r>
            <w:r>
              <w:rPr>
                <w:rFonts w:hint="eastAsia" w:ascii="宋体" w:hAnsi="宋体" w:eastAsia="宋体" w:cs="宋体"/>
                <w:sz w:val="24"/>
                <w:szCs w:val="24"/>
                <w:lang w:eastAsia="zh-CN" w:bidi="ar"/>
              </w:rPr>
              <w:t>中标通知书和合同为准，时间以合同签订日期为准</w:t>
            </w:r>
            <w:r>
              <w:rPr>
                <w:rFonts w:hint="eastAsia" w:ascii="宋体" w:hAnsi="宋体" w:eastAsia="宋体" w:cs="宋体"/>
                <w:color w:val="auto"/>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jc w:val="center"/>
              <w:rPr>
                <w:rFonts w:hint="eastAsia" w:ascii="宋体" w:hAnsi="宋体" w:eastAsia="宋体" w:cs="宋体"/>
                <w:lang w:eastAsia="zh-CN"/>
              </w:rPr>
            </w:pPr>
          </w:p>
        </w:tc>
        <w:tc>
          <w:tcPr>
            <w:tcW w:w="1449" w:type="dxa"/>
            <w:vMerge w:val="continue"/>
            <w:vAlign w:val="center"/>
          </w:tcPr>
          <w:p>
            <w:pPr>
              <w:widowControl w:val="0"/>
              <w:kinsoku/>
              <w:wordWrap w:val="0"/>
              <w:autoSpaceDE/>
              <w:autoSpaceDN/>
              <w:adjustRightInd/>
              <w:snapToGrid/>
              <w:spacing w:before="157" w:line="220" w:lineRule="auto"/>
              <w:ind w:left="148"/>
              <w:jc w:val="both"/>
              <w:textAlignment w:val="auto"/>
              <w:rPr>
                <w:rFonts w:hint="eastAsia" w:ascii="宋体" w:hAnsi="宋体" w:eastAsia="宋体" w:cs="宋体"/>
                <w:snapToGrid/>
                <w:color w:val="auto"/>
                <w:spacing w:val="-2"/>
                <w:kern w:val="2"/>
                <w:sz w:val="24"/>
                <w:szCs w:val="24"/>
                <w:lang w:eastAsia="zh-CN"/>
              </w:rPr>
            </w:pPr>
          </w:p>
        </w:tc>
        <w:tc>
          <w:tcPr>
            <w:tcW w:w="751" w:type="dxa"/>
            <w:vMerge w:val="continue"/>
          </w:tcPr>
          <w:p>
            <w:pPr>
              <w:kinsoku/>
              <w:wordWrap w:val="0"/>
              <w:jc w:val="both"/>
              <w:rPr>
                <w:rFonts w:hint="eastAsia" w:ascii="宋体" w:hAnsi="宋体" w:eastAsia="宋体" w:cs="宋体"/>
                <w:spacing w:val="-13"/>
                <w:sz w:val="24"/>
                <w:szCs w:val="24"/>
                <w:lang w:eastAsia="zh-CN"/>
              </w:rPr>
            </w:pPr>
          </w:p>
        </w:tc>
        <w:tc>
          <w:tcPr>
            <w:tcW w:w="1228" w:type="dxa"/>
            <w:vMerge w:val="restart"/>
            <w:vAlign w:val="center"/>
          </w:tcPr>
          <w:p>
            <w:pPr>
              <w:kinsoku/>
              <w:autoSpaceDE/>
              <w:autoSpaceDN/>
              <w:adjustRightInd/>
              <w:snapToGrid/>
              <w:spacing w:line="360" w:lineRule="auto"/>
              <w:textAlignment w:val="auto"/>
              <w:rPr>
                <w:rFonts w:hint="eastAsia" w:ascii="宋体" w:hAnsi="宋体" w:eastAsia="宋体" w:cs="宋体"/>
                <w:snapToGrid/>
                <w:color w:val="auto"/>
                <w:sz w:val="24"/>
                <w:szCs w:val="24"/>
                <w:lang w:eastAsia="zh-CN" w:bidi="ar"/>
              </w:rPr>
            </w:pPr>
          </w:p>
          <w:p>
            <w:pPr>
              <w:kinsoku/>
              <w:autoSpaceDE/>
              <w:autoSpaceDN/>
              <w:adjustRightInd/>
              <w:snapToGrid/>
              <w:textAlignment w:val="auto"/>
              <w:rPr>
                <w:rFonts w:hint="eastAsia" w:ascii="宋体" w:hAnsi="宋体" w:eastAsia="宋体" w:cs="宋体"/>
                <w:snapToGrid/>
                <w:color w:val="auto"/>
                <w:sz w:val="24"/>
                <w:szCs w:val="24"/>
                <w:lang w:eastAsia="zh-CN"/>
              </w:rPr>
            </w:pPr>
            <w:r>
              <w:rPr>
                <w:rFonts w:hint="eastAsia" w:ascii="宋体" w:hAnsi="宋体" w:eastAsia="宋体" w:cs="宋体"/>
                <w:snapToGrid/>
                <w:color w:val="auto"/>
                <w:sz w:val="24"/>
                <w:szCs w:val="24"/>
                <w:lang w:eastAsia="zh-CN" w:bidi="ar"/>
              </w:rPr>
              <w:t>企业综合实力（12分）</w:t>
            </w: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投标人或制造商具有服务管理体系认证证书 (ISO/IEC 20000-1)，范围含法庭类系统服务的得2分。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lang w:eastAsia="zh-CN"/>
              </w:rPr>
            </w:pPr>
          </w:p>
        </w:tc>
        <w:tc>
          <w:tcPr>
            <w:tcW w:w="1449" w:type="dxa"/>
            <w:vMerge w:val="continue"/>
            <w:vAlign w:val="center"/>
          </w:tcPr>
          <w:p>
            <w:pPr>
              <w:kinsoku/>
              <w:wordWrap w:val="0"/>
              <w:spacing w:before="33" w:line="235" w:lineRule="auto"/>
              <w:ind w:left="76" w:right="23" w:firstLine="2"/>
              <w:jc w:val="both"/>
              <w:rPr>
                <w:lang w:eastAsia="zh-CN"/>
              </w:rPr>
            </w:pPr>
          </w:p>
        </w:tc>
        <w:tc>
          <w:tcPr>
            <w:tcW w:w="751" w:type="dxa"/>
            <w:vMerge w:val="continue"/>
          </w:tcPr>
          <w:p>
            <w:pPr>
              <w:kinsoku/>
              <w:wordWrap w:val="0"/>
              <w:spacing w:before="33" w:line="235" w:lineRule="auto"/>
              <w:ind w:left="76" w:right="23" w:firstLine="2"/>
              <w:jc w:val="both"/>
              <w:rPr>
                <w:lang w:eastAsia="zh-CN"/>
              </w:rPr>
            </w:pPr>
          </w:p>
        </w:tc>
        <w:tc>
          <w:tcPr>
            <w:tcW w:w="1228" w:type="dxa"/>
            <w:vMerge w:val="continue"/>
            <w:vAlign w:val="center"/>
          </w:tcPr>
          <w:p>
            <w:pPr>
              <w:kinsoku/>
              <w:wordWrap w:val="0"/>
              <w:spacing w:before="33" w:line="235" w:lineRule="auto"/>
              <w:ind w:left="76" w:right="23" w:firstLine="2"/>
              <w:jc w:val="both"/>
              <w:rPr>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投标人或制造商具有商品售后服务认证证书，范围含法庭系统的售后服务的得2分。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投标人或制造商具有质量管理体系认证证书(ISO9001)、范围含主机的设计、开发、生产等相关得2分。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投标人或制造商具有知识产权认证证书(GB/T 29490) 、范围含法庭系统的设计、开发等相关的知识产权管理的得3分。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761"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449"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751" w:type="dxa"/>
            <w:vMerge w:val="continue"/>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1228" w:type="dxa"/>
            <w:vMerge w:val="continue"/>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p>
        </w:tc>
        <w:tc>
          <w:tcPr>
            <w:tcW w:w="4950" w:type="dxa"/>
            <w:vAlign w:val="center"/>
          </w:tcPr>
          <w:p>
            <w:pPr>
              <w:kinsoku/>
              <w:wordWrap w:val="0"/>
              <w:spacing w:before="33" w:line="235" w:lineRule="auto"/>
              <w:ind w:left="76" w:right="23" w:firstLine="2"/>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为保证庭审管理平台及庭审软件无纸化庭审效果，厂商需要提供电子卷宗的存储方法，（地市级以上的政府部门出具的有效证明材料）得3分。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210" w:type="dxa"/>
            <w:gridSpan w:val="2"/>
          </w:tcPr>
          <w:p>
            <w:pPr>
              <w:widowControl w:val="0"/>
              <w:kinsoku/>
              <w:wordWrap w:val="0"/>
              <w:autoSpaceDE/>
              <w:autoSpaceDN/>
              <w:adjustRightInd/>
              <w:snapToGrid/>
              <w:spacing w:before="42" w:line="206" w:lineRule="auto"/>
              <w:ind w:left="932"/>
              <w:jc w:val="both"/>
              <w:textAlignment w:val="auto"/>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spacing w:val="-3"/>
                <w:kern w:val="2"/>
                <w:sz w:val="24"/>
                <w:szCs w:val="24"/>
                <w:lang w:eastAsia="zh-CN"/>
              </w:rPr>
              <w:t>合计</w:t>
            </w:r>
          </w:p>
        </w:tc>
        <w:tc>
          <w:tcPr>
            <w:tcW w:w="751" w:type="dxa"/>
          </w:tcPr>
          <w:p>
            <w:pPr>
              <w:kinsoku/>
              <w:wordWrap w:val="0"/>
              <w:spacing w:before="59" w:line="202" w:lineRule="auto"/>
              <w:ind w:left="265"/>
              <w:jc w:val="both"/>
              <w:rPr>
                <w:rFonts w:hint="eastAsia" w:ascii="宋体" w:hAnsi="宋体" w:eastAsia="宋体" w:cs="宋体"/>
                <w:sz w:val="24"/>
                <w:szCs w:val="24"/>
              </w:rPr>
            </w:pPr>
            <w:r>
              <w:rPr>
                <w:rFonts w:hint="eastAsia" w:ascii="宋体" w:hAnsi="宋体" w:eastAsia="宋体" w:cs="宋体"/>
                <w:spacing w:val="9"/>
                <w:sz w:val="24"/>
                <w:szCs w:val="24"/>
              </w:rPr>
              <w:t>100</w:t>
            </w:r>
          </w:p>
        </w:tc>
        <w:tc>
          <w:tcPr>
            <w:tcW w:w="6178" w:type="dxa"/>
            <w:gridSpan w:val="2"/>
          </w:tcPr>
          <w:p>
            <w:pPr>
              <w:kinsoku/>
              <w:wordWrap w:val="0"/>
              <w:jc w:val="both"/>
              <w:rPr>
                <w:rFonts w:hint="eastAsia" w:ascii="宋体" w:hAnsi="宋体" w:eastAsia="宋体" w:cs="宋体"/>
              </w:rPr>
            </w:pPr>
          </w:p>
        </w:tc>
      </w:tr>
      <w:bookmarkEnd w:id="13"/>
      <w:bookmarkEnd w:id="14"/>
    </w:tbl>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11.有下列情况之一的，采购人或采购代理机构宣布本项目终止：</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11.1 因情况变化，不再符合规定的竞争性磋商采购方式适用情形的；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11.2 出现影响采购公正的违法、违规行为的；</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11.3 法律法规规定的其他情况。</w:t>
      </w:r>
    </w:p>
    <w:p>
      <w:pPr>
        <w:kinsoku/>
        <w:wordWrap w:val="0"/>
        <w:spacing w:line="360" w:lineRule="auto"/>
        <w:ind w:firstLine="480" w:firstLineChars="200"/>
        <w:jc w:val="both"/>
        <w:rPr>
          <w:rFonts w:hint="eastAsia" w:ascii="仿宋_GB2312" w:hAnsi="仿宋_GB2312" w:eastAsia="仿宋_GB2312" w:cs="仿宋_GB2312"/>
          <w:b/>
          <w:sz w:val="28"/>
          <w:szCs w:val="28"/>
          <w:lang w:eastAsia="zh-CN"/>
        </w:rPr>
      </w:pPr>
      <w:r>
        <w:rPr>
          <w:rFonts w:hint="eastAsia" w:ascii="宋体" w:hAnsi="宋体" w:eastAsia="宋体" w:cs="宋体"/>
          <w:sz w:val="24"/>
          <w:szCs w:val="24"/>
          <w:lang w:eastAsia="zh-CN"/>
        </w:rPr>
        <w:t>12.若本项目属于政府购买服务项目，将按照《政府采购竞争性磋商采购方式管理暂行办法》和《财政部关于政府采购竞争性磋商采购方式管理暂行办法有关问题的补充通知》（财库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﹝2015﹞</w:t>
      </w:r>
      <w:r>
        <w:rPr>
          <w:rFonts w:hint="eastAsia" w:ascii="宋体" w:hAnsi="宋体" w:eastAsia="宋体" w:cs="宋体"/>
          <w:sz w:val="24"/>
          <w:szCs w:val="24"/>
          <w:lang w:eastAsia="zh-CN"/>
        </w:rPr>
        <w:t>124号）等规定执行。</w:t>
      </w:r>
    </w:p>
    <w:bookmarkEnd w:id="0"/>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sz w:val="24"/>
          <w:szCs w:val="24"/>
          <w:lang w:eastAsia="zh-CN"/>
        </w:rPr>
      </w:pPr>
      <w:bookmarkStart w:id="16" w:name="_Hlk174565281"/>
      <w:r>
        <w:rPr>
          <w:rFonts w:hint="eastAsia" w:ascii="宋体" w:hAnsi="宋体" w:eastAsia="宋体" w:cs="宋体"/>
          <w:b/>
          <w:bCs/>
          <w:sz w:val="24"/>
          <w:szCs w:val="24"/>
          <w:lang w:eastAsia="zh-CN"/>
        </w:rPr>
        <w:t>六、成交通知及签订合同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1.成交结果公布</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1.1 成交供应商确定后，采购人或采购代理机构将在“河南省政府采购网”和“南阳市公共资源交易中心网”上发布成交公告。</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1.2 如项目终止，成交结果公告以“河南省政府采购网”发布的为准。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2.发出成交通知书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2.1 根据成交结果，采购人或采购代理机构通过“南阳市公共资源交易中心公共服务平台或电子营业执照应用平台”向成交供应商发出电子成交通知书，成交供应商可登陆南阳市公共资源交易平台会员系统或电子营业执照应用平台，自行打印加盖电子签章的成交通知书。</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2.2 《成交通知书》是签订政府采购合同的重要依据，对采购人与成交供应商具有法律效力。</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3.签订合同</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3.1 成交供应商和采购人应在《成交通知书》发出后及时签订政府采购合同，逾期无故不签订的，按《政府采购竞争性磋商采购方式管理暂行办法》及有关规定处理。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3.2 竞争性磋商文件、响应文件、供应商在磋商过程中的承诺以及确认材料，均为合同的有效组成部分。</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3.3 如果成交供应商不按其响应文件承诺和竞争性磋商文件要求签订政府采购合同，采购人将取消其成交资格。</w:t>
      </w:r>
    </w:p>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七、质疑与答复</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1.</w:t>
      </w:r>
      <w:r>
        <w:rPr>
          <w:rFonts w:asciiTheme="minorEastAsia" w:hAnsiTheme="minorEastAsia" w:eastAsiaTheme="minorEastAsia" w:cstheme="minorEastAsia"/>
          <w:spacing w:val="2"/>
          <w:position w:val="17"/>
          <w:sz w:val="24"/>
          <w:szCs w:val="24"/>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2.</w:t>
      </w:r>
      <w:r>
        <w:rPr>
          <w:rFonts w:asciiTheme="minorEastAsia" w:hAnsiTheme="minorEastAsia" w:eastAsiaTheme="minorEastAsia" w:cstheme="minorEastAsia"/>
          <w:spacing w:val="2"/>
          <w:position w:val="17"/>
          <w:sz w:val="24"/>
          <w:szCs w:val="24"/>
          <w:lang w:eastAsia="zh-CN"/>
        </w:rPr>
        <w:t>质疑函须按照财政</w:t>
      </w:r>
      <w:r>
        <w:rPr>
          <w:rFonts w:hint="eastAsia" w:asciiTheme="minorEastAsia" w:hAnsiTheme="minorEastAsia" w:eastAsiaTheme="minorEastAsia" w:cstheme="minorEastAsia"/>
          <w:spacing w:val="2"/>
          <w:position w:val="17"/>
          <w:sz w:val="24"/>
          <w:szCs w:val="24"/>
          <w:lang w:eastAsia="zh-CN"/>
        </w:rPr>
        <w:t>部门</w:t>
      </w:r>
      <w:r>
        <w:rPr>
          <w:rFonts w:asciiTheme="minorEastAsia" w:hAnsiTheme="minorEastAsia" w:eastAsiaTheme="minorEastAsia" w:cstheme="minorEastAsia"/>
          <w:spacing w:val="2"/>
          <w:position w:val="17"/>
          <w:sz w:val="24"/>
          <w:szCs w:val="24"/>
          <w:lang w:eastAsia="zh-CN"/>
        </w:rPr>
        <w:t>发布的质疑函范本格式编制，质疑事项应具体、明确，并有必要的事实依据和法律依据。</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3.</w:t>
      </w:r>
      <w:r>
        <w:rPr>
          <w:rFonts w:asciiTheme="minorEastAsia" w:hAnsiTheme="minorEastAsia" w:eastAsiaTheme="minorEastAsia" w:cstheme="minorEastAsia"/>
          <w:spacing w:val="2"/>
          <w:position w:val="17"/>
          <w:sz w:val="24"/>
          <w:szCs w:val="24"/>
          <w:lang w:eastAsia="zh-CN"/>
        </w:rPr>
        <w:t>接收质疑的方式：</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3.1 </w:t>
      </w:r>
      <w:r>
        <w:rPr>
          <w:rFonts w:asciiTheme="minorEastAsia" w:hAnsiTheme="minorEastAsia" w:eastAsiaTheme="minorEastAsia" w:cstheme="minorEastAsia"/>
          <w:spacing w:val="2"/>
          <w:position w:val="17"/>
          <w:sz w:val="24"/>
          <w:szCs w:val="24"/>
          <w:lang w:eastAsia="zh-CN"/>
        </w:rPr>
        <w:t>在线接收，请质疑人上传质疑函原件扫描件到南阳市公共资源交易系统或南阳市公共资源电子营业执照应用平台并电话通知到项目负责人。</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 xml:space="preserve">3.2 </w:t>
      </w:r>
      <w:r>
        <w:rPr>
          <w:rFonts w:asciiTheme="minorEastAsia" w:hAnsiTheme="minorEastAsia" w:eastAsiaTheme="minorEastAsia" w:cstheme="minorEastAsia"/>
          <w:spacing w:val="2"/>
          <w:position w:val="17"/>
          <w:sz w:val="24"/>
          <w:szCs w:val="24"/>
          <w:lang w:eastAsia="zh-CN"/>
        </w:rPr>
        <w:t>书面提交，请质疑人将质疑函原件送达或邮寄至采购单位联系人和</w:t>
      </w:r>
      <w:r>
        <w:rPr>
          <w:rFonts w:hint="eastAsia" w:asciiTheme="minorEastAsia" w:hAnsiTheme="minorEastAsia" w:eastAsiaTheme="minorEastAsia" w:cstheme="minorEastAsia"/>
          <w:spacing w:val="2"/>
          <w:position w:val="17"/>
          <w:sz w:val="24"/>
          <w:szCs w:val="24"/>
          <w:lang w:eastAsia="zh-CN"/>
        </w:rPr>
        <w:t>采购代理机构</w:t>
      </w:r>
      <w:r>
        <w:rPr>
          <w:rFonts w:asciiTheme="minorEastAsia" w:hAnsiTheme="minorEastAsia" w:eastAsiaTheme="minorEastAsia" w:cstheme="minorEastAsia"/>
          <w:spacing w:val="2"/>
          <w:position w:val="17"/>
          <w:sz w:val="24"/>
          <w:szCs w:val="24"/>
          <w:lang w:eastAsia="zh-CN"/>
        </w:rPr>
        <w:t>项目负责人，联系方式及地址详见采购公告。</w:t>
      </w:r>
    </w:p>
    <w:p>
      <w:pPr>
        <w:pStyle w:val="8"/>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4.</w:t>
      </w:r>
      <w:r>
        <w:rPr>
          <w:rFonts w:asciiTheme="minorEastAsia" w:hAnsiTheme="minorEastAsia" w:eastAsiaTheme="minorEastAsia" w:cstheme="minorEastAsia"/>
          <w:spacing w:val="2"/>
          <w:position w:val="17"/>
          <w:sz w:val="24"/>
          <w:szCs w:val="24"/>
          <w:lang w:eastAsia="zh-CN"/>
        </w:rPr>
        <w:t>超出法定质疑期的、重复提出的、分次提出的或内容、形式不符合《政府采购质疑和投诉办法》的，采购人和采购代理机构可以拒收，质疑供应商将依法承担不利后果。</w:t>
      </w:r>
    </w:p>
    <w:p>
      <w:pPr>
        <w:pStyle w:val="8"/>
        <w:kinsoku/>
        <w:wordWrap w:val="0"/>
        <w:spacing w:line="360" w:lineRule="auto"/>
        <w:ind w:firstLine="488"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spacing w:val="2"/>
          <w:position w:val="17"/>
          <w:sz w:val="24"/>
          <w:szCs w:val="24"/>
          <w:lang w:eastAsia="zh-CN"/>
        </w:rPr>
        <w:t>5.</w:t>
      </w:r>
      <w:r>
        <w:rPr>
          <w:rFonts w:asciiTheme="minorEastAsia" w:hAnsiTheme="minorEastAsia" w:eastAsiaTheme="minorEastAsia" w:cstheme="minorEastAsia"/>
          <w:spacing w:val="2"/>
          <w:position w:val="17"/>
          <w:sz w:val="24"/>
          <w:szCs w:val="24"/>
          <w:lang w:eastAsia="zh-CN"/>
        </w:rPr>
        <w:t>采购人和采购代理机构在收到质疑函后7个工作日内作出答复，并以书面形式通知质疑供应商和其他有关供应商。</w:t>
      </w:r>
    </w:p>
    <w:p>
      <w:pPr>
        <w:kinsoku/>
        <w:wordWrap w:val="0"/>
        <w:spacing w:line="360" w:lineRule="auto"/>
        <w:jc w:val="both"/>
        <w:rPr>
          <w:rFonts w:hint="eastAsia" w:ascii="宋体" w:hAnsi="宋体" w:eastAsia="宋体" w:cs="宋体"/>
          <w:b/>
          <w:bCs/>
          <w:sz w:val="24"/>
          <w:szCs w:val="24"/>
          <w:lang w:eastAsia="zh-CN"/>
        </w:rPr>
      </w:pPr>
    </w:p>
    <w:p>
      <w:pPr>
        <w:kinsoku/>
        <w:wordWrap w:val="0"/>
        <w:spacing w:line="360" w:lineRule="auto"/>
        <w:jc w:val="both"/>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八、注意事项</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1.如对竞争性磋商文件有疑问，应于响应文件递交截止时间前1工作日向采购人或采购代理机构提出。</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2.供应商必须由法定代表人或授权代表参加磋商，随时接受磋商小组的询问、质疑，并按照磋商小组的要求答复。</w:t>
      </w:r>
    </w:p>
    <w:p>
      <w:pPr>
        <w:kinsoku/>
        <w:wordWrap w:val="0"/>
        <w:spacing w:line="360" w:lineRule="auto"/>
        <w:ind w:firstLine="480" w:firstLineChars="200"/>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3.供应商自行承担参加竞争性磋商的全部费用。</w:t>
      </w:r>
    </w:p>
    <w:p>
      <w:pPr>
        <w:kinsoku/>
        <w:wordWrap w:val="0"/>
        <w:spacing w:line="360" w:lineRule="auto"/>
        <w:ind w:firstLine="480"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宋体" w:hAnsi="宋体" w:eastAsia="宋体" w:cs="宋体"/>
          <w:sz w:val="24"/>
          <w:szCs w:val="24"/>
          <w:lang w:eastAsia="zh-CN"/>
        </w:rPr>
        <w:t>4.本竞争性磋商文件最终解释权归采购代理机构。</w:t>
      </w: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24"/>
          <w:szCs w:val="24"/>
          <w:lang w:eastAsia="zh-CN"/>
        </w:rPr>
      </w:pPr>
    </w:p>
    <w:p>
      <w:pPr>
        <w:kinsoku/>
        <w:wordWrap w:val="0"/>
        <w:spacing w:line="360" w:lineRule="auto"/>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both"/>
        <w:rPr>
          <w:rFonts w:hint="eastAsia" w:asciiTheme="minorEastAsia" w:hAnsiTheme="minorEastAsia" w:eastAsiaTheme="minorEastAsia" w:cstheme="minorEastAsia"/>
          <w:b/>
          <w:bCs/>
          <w:spacing w:val="2"/>
          <w:position w:val="17"/>
          <w:sz w:val="32"/>
          <w:szCs w:val="32"/>
          <w:lang w:eastAsia="zh-CN"/>
        </w:rPr>
      </w:pPr>
    </w:p>
    <w:p>
      <w:pPr>
        <w:kinsoku/>
        <w:wordWrap w:val="0"/>
        <w:spacing w:line="360" w:lineRule="auto"/>
        <w:jc w:val="center"/>
        <w:rPr>
          <w:rFonts w:hint="eastAsia" w:asciiTheme="minorEastAsia" w:hAnsiTheme="minorEastAsia" w:eastAsiaTheme="minorEastAsia" w:cstheme="minorEastAsia"/>
          <w:spacing w:val="2"/>
          <w:position w:val="17"/>
          <w:sz w:val="32"/>
          <w:szCs w:val="32"/>
          <w:lang w:eastAsia="zh-CN"/>
        </w:rPr>
      </w:pPr>
      <w:r>
        <w:rPr>
          <w:rFonts w:hint="eastAsia" w:asciiTheme="minorEastAsia" w:hAnsiTheme="minorEastAsia" w:eastAsiaTheme="minorEastAsia" w:cstheme="minorEastAsia"/>
          <w:b/>
          <w:bCs/>
          <w:spacing w:val="2"/>
          <w:position w:val="17"/>
          <w:sz w:val="32"/>
          <w:szCs w:val="32"/>
          <w:lang w:eastAsia="zh-CN"/>
        </w:rPr>
        <w:t>河南省政府采购合同融资政策告知函</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各供应商：</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欢迎贵公司参与河南省政府采购活动!</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insoku/>
        <w:wordWrap w:val="0"/>
        <w:spacing w:line="360" w:lineRule="auto"/>
        <w:ind w:firstLine="488" w:firstLineChars="200"/>
        <w:jc w:val="both"/>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贷款渠道和提供贷款的金融机构，可在河南省政府采购网“河南省政府采购合同融资平台”查询联系。</w:t>
      </w:r>
    </w:p>
    <w:p>
      <w:pPr>
        <w:kinsoku/>
        <w:wordWrap w:val="0"/>
        <w:spacing w:line="360" w:lineRule="auto"/>
        <w:ind w:firstLine="430" w:firstLineChars="200"/>
        <w:jc w:val="both"/>
        <w:rPr>
          <w:rFonts w:hint="eastAsia" w:ascii="宋体" w:hAnsi="宋体" w:eastAsia="宋体" w:cs="宋体"/>
          <w:sz w:val="24"/>
          <w:szCs w:val="24"/>
          <w:lang w:eastAsia="zh-CN"/>
        </w:rPr>
      </w:pPr>
      <w:r>
        <w:rPr>
          <w:rFonts w:hint="eastAsia" w:asciiTheme="minorEastAsia" w:hAnsiTheme="minorEastAsia" w:eastAsiaTheme="minorEastAsia" w:cstheme="minorEastAsia"/>
          <w:b/>
          <w:bCs/>
          <w:spacing w:val="-13"/>
          <w:sz w:val="24"/>
          <w:szCs w:val="24"/>
          <w:lang w:eastAsia="zh-CN"/>
        </w:rPr>
        <w:t>为更大力度激发市场活力和社会创造力，增强发展动力，进一步加强政府采购合同线上融资一站式服务（简称“政采贷”），有需求的供应商，可按上述通知要求办理政采贷。</w:t>
      </w:r>
    </w:p>
    <w:p>
      <w:pPr>
        <w:kinsoku/>
        <w:wordWrap w:val="0"/>
        <w:spacing w:line="360" w:lineRule="auto"/>
        <w:ind w:firstLine="480" w:firstLineChars="200"/>
        <w:jc w:val="both"/>
        <w:rPr>
          <w:rFonts w:hint="eastAsia" w:ascii="宋体" w:hAnsi="宋体" w:eastAsia="宋体" w:cs="宋体"/>
          <w:sz w:val="24"/>
          <w:szCs w:val="24"/>
          <w:lang w:eastAsia="zh-CN"/>
        </w:rPr>
      </w:pPr>
    </w:p>
    <w:bookmarkEnd w:id="16"/>
    <w:p>
      <w:pPr>
        <w:kinsoku/>
        <w:wordWrap w:val="0"/>
        <w:spacing w:line="360" w:lineRule="auto"/>
        <w:ind w:firstLine="480" w:firstLineChars="200"/>
        <w:jc w:val="both"/>
        <w:rPr>
          <w:rFonts w:hint="eastAsia" w:ascii="宋体" w:hAnsi="宋体" w:eastAsia="宋体" w:cs="宋体"/>
          <w:sz w:val="24"/>
          <w:szCs w:val="24"/>
          <w:lang w:eastAsia="zh-CN"/>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lang w:eastAsia="zh-CN"/>
        </w:rPr>
      </w:pPr>
      <w:bookmarkStart w:id="17" w:name="_Hlk174565366"/>
      <w:r>
        <w:rPr>
          <w:rFonts w:hint="eastAsia" w:ascii="宋体" w:hAnsi="宋体" w:eastAsia="宋体" w:cs="宋体"/>
          <w:spacing w:val="-1"/>
          <w:sz w:val="36"/>
          <w:szCs w:val="36"/>
          <w:lang w:eastAsia="zh-CN"/>
          <w14:textOutline w14:w="2311" w14:cap="flat" w14:cmpd="sng" w14:algn="ctr">
            <w14:solidFill>
              <w14:srgbClr w14:val="000000"/>
            </w14:solidFill>
            <w14:prstDash w14:val="solid"/>
            <w14:miter w14:val="0"/>
          </w14:textOutline>
        </w:rPr>
        <w:t>第五章 合同草案条款</w:t>
      </w:r>
    </w:p>
    <w:p>
      <w:pPr>
        <w:pStyle w:val="9"/>
        <w:kinsoku/>
        <w:wordWrap w:val="0"/>
        <w:spacing w:line="360" w:lineRule="auto"/>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说明：</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2.合同条款中应规定，乙方完全遵守《中华人民共和国妇女权益保障法》中关于劳动和社会保障权益的有关要求。</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3.对于通过预留采购项目、预留专门采购包等措施签订的采购合同，应当明确标注本合同为中小企业预留合同。</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4.政府采购合同（草案）4.政府采购合同设定预付款支付方式的，预付款支付比例原则上不低于合同金额的50%；对于中小企业，预付款支付比例原则上不低于合同金额的70%。</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pStyle w:val="9"/>
        <w:kinsoku/>
        <w:wordWrap w:val="0"/>
        <w:spacing w:line="360" w:lineRule="auto"/>
        <w:ind w:firstLine="428" w:firstLineChars="200"/>
        <w:jc w:val="both"/>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lang w:eastAsia="zh-CN"/>
        </w:rPr>
        <w:t>7.当采购项目涉及数据中心相关设备、运维服务时，采购需求应当符合《绿色数据中</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3"/>
          <w:sz w:val="24"/>
          <w:szCs w:val="24"/>
          <w:lang w:eastAsia="zh-CN"/>
        </w:rPr>
        <w:t>心政府采购需求标准（试行）》（财库〔2023〕7号）的有关要求，并在合同中明确对相关指标的验收方式和违约责任。</w:t>
      </w:r>
    </w:p>
    <w:p>
      <w:pPr>
        <w:pStyle w:val="9"/>
        <w:kinsoku/>
        <w:wordWrap w:val="0"/>
        <w:spacing w:line="220" w:lineRule="auto"/>
        <w:ind w:left="9"/>
        <w:jc w:val="both"/>
        <w:rPr>
          <w:rFonts w:hint="eastAsia"/>
          <w:sz w:val="24"/>
          <w:szCs w:val="24"/>
          <w:lang w:eastAsia="zh-CN"/>
        </w:rPr>
      </w:pPr>
    </w:p>
    <w:p>
      <w:pPr>
        <w:kinsoku/>
        <w:wordWrap w:val="0"/>
        <w:spacing w:line="220" w:lineRule="auto"/>
        <w:jc w:val="both"/>
        <w:rPr>
          <w:sz w:val="24"/>
          <w:szCs w:val="24"/>
          <w:lang w:eastAsia="zh-CN"/>
        </w:rPr>
        <w:sectPr>
          <w:headerReference r:id="rId3" w:type="default"/>
          <w:footerReference r:id="rId4" w:type="default"/>
          <w:pgSz w:w="11907" w:h="16840"/>
          <w:pgMar w:top="1440" w:right="1800" w:bottom="1440" w:left="1800" w:header="878" w:footer="886" w:gutter="0"/>
          <w:pgNumType w:start="1"/>
          <w:cols w:space="720" w:num="1"/>
        </w:sectPr>
      </w:pPr>
    </w:p>
    <w:p>
      <w:pPr>
        <w:pStyle w:val="9"/>
        <w:kinsoku/>
        <w:wordWrap w:val="0"/>
        <w:spacing w:before="353" w:line="360" w:lineRule="auto"/>
        <w:ind w:left="2654"/>
        <w:jc w:val="both"/>
        <w:rPr>
          <w:rFonts w:hint="eastAsia" w:ascii="Arial"/>
          <w:sz w:val="21"/>
          <w:lang w:eastAsia="zh-CN"/>
        </w:rPr>
      </w:pPr>
      <w:r>
        <w:rPr>
          <w:spacing w:val="-5"/>
          <w:sz w:val="36"/>
          <w:szCs w:val="36"/>
          <w:lang w:eastAsia="zh-CN"/>
          <w14:textOutline w14:w="2311" w14:cap="flat" w14:cmpd="sng" w14:algn="ctr">
            <w14:solidFill>
              <w14:srgbClr w14:val="000000"/>
            </w14:solidFill>
            <w14:prstDash w14:val="solid"/>
            <w14:miter w14:val="0"/>
          </w14:textOutline>
        </w:rPr>
        <w:t>第六章</w:t>
      </w:r>
      <w:r>
        <w:rPr>
          <w:rFonts w:hint="eastAsia"/>
          <w:spacing w:val="-5"/>
          <w:sz w:val="36"/>
          <w:szCs w:val="36"/>
          <w:lang w:eastAsia="zh-CN"/>
          <w14:textOutline w14:w="2311" w14:cap="flat" w14:cmpd="sng" w14:algn="ctr">
            <w14:solidFill>
              <w14:srgbClr w14:val="000000"/>
            </w14:solidFill>
            <w14:prstDash w14:val="solid"/>
            <w14:miter w14:val="0"/>
          </w14:textOutline>
        </w:rPr>
        <w:t xml:space="preserve"> </w:t>
      </w:r>
      <w:r>
        <w:rPr>
          <w:spacing w:val="-5"/>
          <w:sz w:val="36"/>
          <w:szCs w:val="36"/>
          <w:lang w:eastAsia="zh-CN"/>
          <w14:textOutline w14:w="2311" w14:cap="flat" w14:cmpd="sng" w14:algn="ctr">
            <w14:solidFill>
              <w14:srgbClr w14:val="000000"/>
            </w14:solidFill>
            <w14:prstDash w14:val="solid"/>
            <w14:miter w14:val="0"/>
          </w14:textOutline>
        </w:rPr>
        <w:t>响应文件格式</w:t>
      </w:r>
    </w:p>
    <w:p>
      <w:pPr>
        <w:pStyle w:val="9"/>
        <w:kinsoku/>
        <w:wordWrap w:val="0"/>
        <w:spacing w:line="360" w:lineRule="auto"/>
        <w:jc w:val="both"/>
        <w:rPr>
          <w:rFonts w:hint="eastAsia"/>
          <w:sz w:val="24"/>
          <w:szCs w:val="24"/>
          <w:lang w:eastAsia="zh-CN"/>
        </w:rPr>
      </w:pPr>
      <w:r>
        <w:rPr>
          <w:spacing w:val="-1"/>
          <w:sz w:val="24"/>
          <w:szCs w:val="24"/>
          <w:lang w:eastAsia="zh-CN"/>
          <w14:textOutline w14:w="1536" w14:cap="flat" w14:cmpd="sng" w14:algn="ctr">
            <w14:solidFill>
              <w14:srgbClr w14:val="000000"/>
            </w14:solidFill>
            <w14:prstDash w14:val="solid"/>
            <w14:miter w14:val="0"/>
          </w14:textOutline>
        </w:rPr>
        <w:t>供应商编制文件须知</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1.供应商按照本部分的顺序编制响应文件</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8"/>
          <w:sz w:val="24"/>
          <w:szCs w:val="24"/>
          <w:lang w:eastAsia="zh-CN"/>
        </w:rPr>
        <w:t>编制中涉及格式资料的，应按照本部分提供的内容和格式（所有表格的格式可扩</w:t>
      </w:r>
      <w:r>
        <w:rPr>
          <w:rFonts w:hint="eastAsia" w:asciiTheme="minorEastAsia" w:hAnsiTheme="minorEastAsia" w:eastAsiaTheme="minorEastAsia" w:cstheme="minorEastAsia"/>
          <w:spacing w:val="-3"/>
          <w:sz w:val="24"/>
          <w:szCs w:val="24"/>
          <w:lang w:eastAsia="zh-CN"/>
        </w:rPr>
        <w:t>展）填写提交。</w:t>
      </w:r>
    </w:p>
    <w:p>
      <w:pPr>
        <w:pStyle w:val="9"/>
        <w:kinsoku/>
        <w:wordWrap w:val="0"/>
        <w:spacing w:line="360" w:lineRule="auto"/>
        <w:jc w:val="both"/>
        <w:rPr>
          <w:rFonts w:hint="eastAsia"/>
          <w:sz w:val="24"/>
          <w:szCs w:val="24"/>
          <w:lang w:eastAsia="zh-CN"/>
        </w:rPr>
      </w:pPr>
      <w:r>
        <w:rPr>
          <w:rFonts w:hint="eastAsia" w:ascii="Arial" w:hAnsi="Arial" w:cs="Arial"/>
          <w:spacing w:val="-1"/>
          <w:sz w:val="24"/>
          <w:szCs w:val="24"/>
          <w:lang w:eastAsia="zh-CN"/>
        </w:rPr>
        <w:t>2.</w:t>
      </w:r>
      <w:r>
        <w:rPr>
          <w:spacing w:val="-1"/>
          <w:sz w:val="24"/>
          <w:szCs w:val="24"/>
          <w:lang w:eastAsia="zh-CN"/>
        </w:rPr>
        <w:t>全部声明和问题的回答及所附材料必须是真实的、准确的和完整</w:t>
      </w:r>
      <w:r>
        <w:rPr>
          <w:spacing w:val="-2"/>
          <w:sz w:val="24"/>
          <w:szCs w:val="24"/>
          <w:lang w:eastAsia="zh-CN"/>
        </w:rPr>
        <w:t>的。</w:t>
      </w:r>
    </w:p>
    <w:p>
      <w:pPr>
        <w:kinsoku/>
        <w:wordWrap w:val="0"/>
        <w:spacing w:line="219" w:lineRule="auto"/>
        <w:jc w:val="both"/>
        <w:rPr>
          <w:sz w:val="24"/>
          <w:szCs w:val="24"/>
          <w:lang w:eastAsia="zh-CN"/>
        </w:rPr>
        <w:sectPr>
          <w:headerReference r:id="rId5" w:type="default"/>
          <w:footerReference r:id="rId6" w:type="default"/>
          <w:pgSz w:w="11907" w:h="16840"/>
          <w:pgMar w:top="1440" w:right="1800" w:bottom="1440" w:left="1800" w:header="878" w:footer="886" w:gutter="0"/>
          <w:cols w:space="720" w:num="1"/>
        </w:sect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一、响应函格式</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响应函</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根据贵方项目编号为____________的竞争性磋商文件要求，签字代表_________（全名、职务）经正式授权并代表_________（供应商名称、地址）提交包含响应文件组成第1项至第</w:t>
      </w:r>
      <w:r>
        <w:rPr>
          <w:rFonts w:hint="eastAsia" w:asciiTheme="minorEastAsia" w:hAnsiTheme="minorEastAsia" w:eastAsiaTheme="minorEastAsia" w:cstheme="minorEastAsia"/>
          <w:spacing w:val="-3"/>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项的响应文件电子版本一份。</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据此函，签字代表宣布同意并郑重承诺如下：</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1、我方递交的响应文件中所有的资料均为真实的、准确的，无任何虚假内容。若存在有虚假内容，我方愿意承担法律责任。</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2、我方已详细审查全部竞争性磋商文件，包括修改文件（如有的话）以及全部参考资料和有关附件。我们完全理解并同意放弃对这方面有不明白及误解的权利。</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4、我方保证，严格遵守</w:t>
      </w:r>
      <w:r>
        <w:rPr>
          <w:rFonts w:hint="eastAsia" w:asciiTheme="minorEastAsia" w:hAnsiTheme="minorEastAsia" w:eastAsiaTheme="minorEastAsia" w:cstheme="minorEastAsia"/>
          <w:sz w:val="24"/>
          <w:szCs w:val="24"/>
          <w:lang w:eastAsia="zh-CN"/>
        </w:rPr>
        <w:t>《中华人民共和国政府采购法》《中华人民共和国政府采购法实施条例》</w:t>
      </w:r>
      <w:r>
        <w:rPr>
          <w:rFonts w:hint="eastAsia"/>
          <w:sz w:val="24"/>
          <w:szCs w:val="24"/>
          <w:lang w:eastAsia="zh-CN"/>
        </w:rPr>
        <w:t>《政府采购竞争性磋商采购方式管理暂行办法》</w:t>
      </w:r>
      <w:r>
        <w:rPr>
          <w:rFonts w:hint="eastAsia" w:asciiTheme="minorEastAsia" w:hAnsiTheme="minorEastAsia" w:eastAsiaTheme="minorEastAsia" w:cstheme="minorEastAsia"/>
          <w:spacing w:val="-3"/>
          <w:sz w:val="24"/>
          <w:szCs w:val="24"/>
          <w:lang w:eastAsia="zh-CN"/>
        </w:rPr>
        <w:t>及其他相关法律法规的规定，若有违反上述法律法规的行为，愿意接受处罚并承担相应的法律责任。</w:t>
      </w:r>
    </w:p>
    <w:p>
      <w:pPr>
        <w:pStyle w:val="9"/>
        <w:kinsoku/>
        <w:wordWrap w:val="0"/>
        <w:spacing w:line="360" w:lineRule="auto"/>
        <w:ind w:firstLine="468" w:firstLineChars="2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5、本承诺将成为合同不可分割的一部分，与合同具有同等的法律效力。</w:t>
      </w:r>
    </w:p>
    <w:p>
      <w:pPr>
        <w:kinsoku/>
        <w:wordWrap w:val="0"/>
        <w:spacing w:line="360" w:lineRule="auto"/>
        <w:ind w:firstLine="567"/>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供应商名称（公章）：</w:t>
      </w:r>
    </w:p>
    <w:p>
      <w:pPr>
        <w:kinsoku/>
        <w:wordWrap w:val="0"/>
        <w:spacing w:line="360" w:lineRule="auto"/>
        <w:ind w:firstLine="1170" w:firstLineChars="5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法定代表人或负责人或被授权人签名（或盖章）：</w:t>
      </w:r>
    </w:p>
    <w:p>
      <w:pPr>
        <w:widowControl w:val="0"/>
        <w:kinsoku/>
        <w:wordWrap w:val="0"/>
        <w:spacing w:line="360" w:lineRule="auto"/>
        <w:ind w:firstLine="1200" w:firstLineChars="5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二、法定代表人或负责人授权委托书格式：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法定代表人或负责人授权委托书</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致</w:t>
      </w:r>
      <w:r>
        <w:rPr>
          <w:rFonts w:hint="eastAsia" w:ascii="宋体" w:hAnsi="宋体" w:eastAsia="宋体" w:cs="宋体"/>
          <w:sz w:val="24"/>
          <w:szCs w:val="24"/>
          <w:lang w:eastAsia="zh-CN"/>
        </w:rPr>
        <w:t>采购人或采购代理机构</w:t>
      </w:r>
      <w:r>
        <w:rPr>
          <w:rFonts w:hint="eastAsia" w:asciiTheme="minorEastAsia" w:hAnsiTheme="minorEastAsia" w:eastAsiaTheme="minorEastAsia" w:cstheme="minorEastAsia"/>
          <w:spacing w:val="-3"/>
          <w:sz w:val="24"/>
          <w:szCs w:val="24"/>
          <w:lang w:eastAsia="zh-CN"/>
        </w:rPr>
        <w:t>：</w:t>
      </w:r>
    </w:p>
    <w:p>
      <w:pPr>
        <w:kinsoku/>
        <w:wordWrap w:val="0"/>
        <w:spacing w:line="360" w:lineRule="auto"/>
        <w:ind w:firstLine="702" w:firstLineChars="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我_________（姓名）系_________（供应商名称）的法定代表人或负责人，现授权委托本单位在职职工（姓名）以我方的名义参加项目的竞争性磋商活动，并代表我方全权办理针对上述项目的具体事务和签署相关文件。我方对被授权人的签名事项负全部责任。</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在撤销授权的书面通知以前，本授权书一直有效。被授权人在授权书有效期内签署的所有文件不因授权的撤销而失效。</w:t>
      </w:r>
    </w:p>
    <w:p>
      <w:pPr>
        <w:kinsoku/>
        <w:wordWrap w:val="0"/>
        <w:spacing w:line="360" w:lineRule="auto"/>
        <w:ind w:firstLine="48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被授权人无转委托权，特此委托。</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被授权人签名（或盖章）：</w:t>
      </w:r>
    </w:p>
    <w:p>
      <w:pPr>
        <w:kinsoku/>
        <w:wordWrap w:val="0"/>
        <w:spacing w:line="360" w:lineRule="auto"/>
        <w:ind w:firstLine="2574" w:firstLineChars="11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职务：</w:t>
      </w:r>
    </w:p>
    <w:p>
      <w:pPr>
        <w:kinsoku/>
        <w:wordWrap w:val="0"/>
        <w:spacing w:line="360" w:lineRule="auto"/>
        <w:ind w:firstLine="2634" w:firstLineChars="1126"/>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联系电话：</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法定代表人或负责人、被授权人身份证复印件</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6786" w:firstLineChars="2900"/>
        <w:jc w:val="both"/>
        <w:rPr>
          <w:rFonts w:hint="eastAsia" w:asciiTheme="minorEastAsia" w:hAnsiTheme="minorEastAsia" w:eastAsiaTheme="minorEastAsia" w:cstheme="minorEastAsia"/>
          <w:spacing w:val="-3"/>
          <w:sz w:val="24"/>
          <w:szCs w:val="24"/>
          <w:lang w:eastAsia="zh-CN"/>
        </w:rPr>
      </w:pPr>
    </w:p>
    <w:p>
      <w:pPr>
        <w:kinsoku/>
        <w:wordWrap w:val="0"/>
        <w:spacing w:line="360" w:lineRule="auto"/>
        <w:ind w:firstLine="5382" w:firstLineChars="2300"/>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w:t>
      </w:r>
    </w:p>
    <w:p>
      <w:pPr>
        <w:widowControl w:val="0"/>
        <w:kinsoku/>
        <w:wordWrap w:val="0"/>
        <w:spacing w:line="360" w:lineRule="auto"/>
        <w:ind w:firstLine="5280" w:firstLineChars="2200"/>
        <w:jc w:val="both"/>
        <w:rPr>
          <w:rFonts w:hint="eastAsia" w:asciiTheme="minorEastAsia" w:hAnsiTheme="minorEastAsia" w:eastAsiaTheme="minorEastAsia" w:cstheme="minorEastAsia"/>
          <w:sz w:val="24"/>
          <w:szCs w:val="24"/>
          <w:lang w:val="zh-CN" w:eastAsia="zh-CN"/>
        </w:rPr>
      </w:pPr>
      <w:r>
        <w:rPr>
          <w:rFonts w:hint="eastAsia" w:asciiTheme="minorEastAsia" w:hAnsiTheme="minorEastAsia" w:eastAsiaTheme="minorEastAsia" w:cstheme="minorEastAsia"/>
          <w:sz w:val="24"/>
          <w:szCs w:val="24"/>
          <w:lang w:val="zh-CN"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rPr>
        <w:t>报价一览表格式：</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tbl>
      <w:tblPr>
        <w:tblStyle w:val="23"/>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项目名称</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项目编号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磋商报价</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供货期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免费质保期</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备注</w:t>
            </w:r>
          </w:p>
        </w:tc>
        <w:tc>
          <w:tcPr>
            <w:tcW w:w="74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p>
        </w:tc>
      </w:tr>
    </w:tbl>
    <w:p>
      <w:pPr>
        <w:kinsoku/>
        <w:wordWrap w:val="0"/>
        <w:spacing w:line="360" w:lineRule="auto"/>
        <w:jc w:val="both"/>
        <w:rPr>
          <w:rFonts w:hint="eastAsia" w:asciiTheme="minorEastAsia" w:hAnsiTheme="minorEastAsia" w:eastAsiaTheme="minorEastAsia" w:cstheme="minorEastAsia"/>
          <w:b/>
          <w:bCs/>
          <w:spacing w:val="-8"/>
          <w:sz w:val="24"/>
          <w:szCs w:val="24"/>
          <w:lang w:eastAsia="zh-CN"/>
        </w:rPr>
      </w:pPr>
      <w:r>
        <w:rPr>
          <w:rFonts w:hint="eastAsia" w:asciiTheme="minorEastAsia" w:hAnsiTheme="minorEastAsia" w:eastAsiaTheme="minorEastAsia" w:cstheme="minorEastAsia"/>
          <w:b/>
          <w:bCs/>
          <w:spacing w:val="-8"/>
          <w:sz w:val="24"/>
          <w:szCs w:val="24"/>
          <w:lang w:eastAsia="zh-CN"/>
        </w:rPr>
        <w:t>供应商（公章）：法定代表人（负责人）或授权代表（签字）：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sectPr>
          <w:headerReference r:id="rId9" w:type="default"/>
          <w:footerReference r:id="rId10" w:type="default"/>
          <w:pgSz w:w="11906" w:h="16838"/>
          <w:pgMar w:top="1440" w:right="1800" w:bottom="1440" w:left="1800" w:header="851" w:footer="992" w:gutter="0"/>
          <w:cols w:space="720" w:num="1"/>
          <w:docGrid w:type="lines" w:linePitch="312" w:charSpace="0"/>
        </w:sect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pacing w:val="-3"/>
          <w:sz w:val="24"/>
          <w:szCs w:val="24"/>
          <w:lang w:eastAsia="zh-CN"/>
        </w:rPr>
        <w:t>近三年内在经营活动</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b/>
          <w:bCs/>
          <w:spacing w:val="-3"/>
          <w:sz w:val="24"/>
          <w:szCs w:val="24"/>
          <w:lang w:eastAsia="zh-CN"/>
        </w:rPr>
        <w:t>中没有重大违法记录的声明等；</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审计或财务报告说明：</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1.提供本单位经会计师事务所出具的审计报告或本公司出具的财务报表或提供银行出具的证明文件。银行出具的证明文件应能说明该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与银行之间业务往来正常，企业信誉良好等。</w:t>
      </w:r>
    </w:p>
    <w:p>
      <w:pPr>
        <w:kinsoku/>
        <w:wordWrap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z w:val="24"/>
          <w:szCs w:val="24"/>
          <w:lang w:eastAsia="zh-CN"/>
        </w:rPr>
        <w:t>提供企业有关财务会计制度。</w:t>
      </w: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近三年内在经营活动中没有重大违法记录的声明（格式）</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（法定代表人或其授权代表）代表</w:t>
      </w:r>
      <w:r>
        <w:rPr>
          <w:rFonts w:hint="eastAsia" w:asciiTheme="minorEastAsia" w:hAnsiTheme="minorEastAsia" w:eastAsiaTheme="minorEastAsia" w:cstheme="minorEastAsia"/>
          <w:sz w:val="24"/>
          <w:szCs w:val="24"/>
          <w:u w:val="single"/>
          <w:lang w:eastAsia="zh-CN"/>
        </w:rPr>
        <w:t>（</w:t>
      </w:r>
      <w:r>
        <w:rPr>
          <w:rFonts w:hint="eastAsia" w:asciiTheme="minorEastAsia" w:hAnsiTheme="minorEastAsia" w:eastAsiaTheme="minorEastAsia" w:cstheme="minorEastAsia"/>
          <w:sz w:val="24"/>
          <w:szCs w:val="24"/>
          <w:lang w:eastAsia="zh-CN"/>
        </w:rPr>
        <w:t>公司全称）向本项目的采购人和采购代理机构郑重声明如下：</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我公司近三年来的经营活动中，未因违法经营受到刑事处罚或者责令停产停业、吊销许可证或者执照、较大数额罚款等行政处罚。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特此声明。</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numPr>
          <w:ilvl w:val="0"/>
          <w:numId w:val="4"/>
        </w:num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分项报价一览表、技术偏差表、商务偏差表、</w:t>
      </w:r>
      <w:bookmarkEnd w:id="17"/>
      <w:r>
        <w:rPr>
          <w:rFonts w:hint="eastAsia" w:asciiTheme="minorEastAsia" w:hAnsiTheme="minorEastAsia" w:eastAsiaTheme="minorEastAsia" w:cstheme="minorEastAsia"/>
          <w:b/>
          <w:bCs/>
          <w:spacing w:val="-3"/>
          <w:sz w:val="24"/>
          <w:szCs w:val="24"/>
          <w:lang w:eastAsia="zh-CN"/>
        </w:rPr>
        <w:t>项目实施及技术服务方案等；</w:t>
      </w:r>
    </w:p>
    <w:p>
      <w:pPr>
        <w:spacing w:line="360" w:lineRule="auto"/>
        <w:rPr>
          <w:rFonts w:hint="eastAsia" w:asciiTheme="minorEastAsia" w:hAnsiTheme="minorEastAsia" w:eastAsiaTheme="minorEastAsia" w:cstheme="minorEastAsia"/>
          <w:b/>
          <w:bCs/>
          <w:spacing w:val="-3"/>
          <w:sz w:val="24"/>
          <w:szCs w:val="24"/>
          <w:lang w:eastAsia="zh-CN"/>
        </w:rPr>
      </w:pPr>
      <w:r>
        <w:rPr>
          <w:rFonts w:hint="eastAsia" w:ascii="宋体" w:hAnsi="宋体" w:eastAsia="宋体"/>
          <w:color w:val="000000" w:themeColor="text1"/>
          <w:lang w:eastAsia="zh-CN"/>
          <w14:textFill>
            <w14:solidFill>
              <w14:schemeClr w14:val="tx1"/>
            </w14:solidFill>
          </w14:textFill>
        </w:rPr>
        <w:t>（包括但不限于以下格式或</w:t>
      </w:r>
      <w:r>
        <w:rPr>
          <w:rFonts w:ascii="宋体" w:hAnsi="宋体" w:eastAsia="宋体"/>
          <w:color w:val="000000" w:themeColor="text1"/>
          <w:lang w:eastAsia="zh-CN"/>
          <w14:textFill>
            <w14:solidFill>
              <w14:schemeClr w14:val="tx1"/>
            </w14:solidFill>
          </w14:textFill>
        </w:rPr>
        <w:t>内容</w:t>
      </w:r>
      <w:r>
        <w:rPr>
          <w:rFonts w:hint="eastAsia" w:ascii="宋体" w:hAnsi="宋体" w:eastAsia="宋体"/>
          <w:color w:val="000000" w:themeColor="text1"/>
          <w:lang w:eastAsia="zh-CN"/>
          <w14:textFill>
            <w14:solidFill>
              <w14:schemeClr w14:val="tx1"/>
            </w14:solidFill>
          </w14:textFill>
        </w:rPr>
        <w:t>）</w:t>
      </w:r>
    </w:p>
    <w:bookmarkEnd w:id="1"/>
    <w:p>
      <w:pPr>
        <w:kinsoku/>
        <w:wordWrap w:val="0"/>
        <w:jc w:val="both"/>
        <w:rPr>
          <w:rFonts w:hint="eastAsia" w:asciiTheme="minorEastAsia" w:hAnsiTheme="minorEastAsia" w:eastAsiaTheme="minorEastAsia" w:cstheme="minorEastAsia"/>
          <w:b/>
          <w:sz w:val="24"/>
          <w:szCs w:val="24"/>
          <w:lang w:eastAsia="zh-CN"/>
        </w:rPr>
        <w:sectPr>
          <w:headerReference r:id="rId11" w:type="default"/>
          <w:footerReference r:id="rId12" w:type="default"/>
          <w:pgSz w:w="11907" w:h="16840"/>
          <w:pgMar w:top="1440" w:right="1800" w:bottom="1440" w:left="1800" w:header="851" w:footer="992" w:gutter="0"/>
          <w:cols w:space="720" w:num="1"/>
          <w:docGrid w:linePitch="332" w:charSpace="0"/>
        </w:sectPr>
      </w:pPr>
    </w:p>
    <w:p>
      <w:pPr>
        <w:kinsoku/>
        <w:wordWrap w:val="0"/>
        <w:jc w:val="center"/>
        <w:rPr>
          <w:rFonts w:hint="eastAsia" w:asciiTheme="minorEastAsia" w:hAnsiTheme="minorEastAsia" w:eastAsiaTheme="minorEastAsia" w:cstheme="minorEastAsia"/>
          <w:b/>
          <w:sz w:val="28"/>
          <w:szCs w:val="28"/>
          <w:lang w:eastAsia="zh-CN"/>
        </w:rPr>
      </w:pPr>
      <w:bookmarkStart w:id="18" w:name="_Hlk174565647"/>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3"/>
        <w:tblpPr w:leftFromText="180" w:rightFromText="180" w:vertAnchor="text" w:horzAnchor="page" w:tblpX="1670" w:tblpY="348"/>
        <w:tblOverlap w:val="never"/>
        <w:tblW w:w="14574" w:type="dxa"/>
        <w:tblInd w:w="0" w:type="dxa"/>
        <w:tblLayout w:type="fixed"/>
        <w:tblCellMar>
          <w:top w:w="0" w:type="dxa"/>
          <w:left w:w="108" w:type="dxa"/>
          <w:bottom w:w="0" w:type="dxa"/>
          <w:right w:w="108" w:type="dxa"/>
        </w:tblCellMar>
      </w:tblPr>
      <w:tblGrid>
        <w:gridCol w:w="710"/>
        <w:gridCol w:w="283"/>
        <w:gridCol w:w="958"/>
        <w:gridCol w:w="1276"/>
        <w:gridCol w:w="2977"/>
        <w:gridCol w:w="1559"/>
        <w:gridCol w:w="850"/>
        <w:gridCol w:w="993"/>
        <w:gridCol w:w="993"/>
        <w:gridCol w:w="1275"/>
        <w:gridCol w:w="1418"/>
        <w:gridCol w:w="1282"/>
      </w:tblGrid>
      <w:tr>
        <w:tblPrEx>
          <w:tblCellMar>
            <w:top w:w="0" w:type="dxa"/>
            <w:left w:w="108" w:type="dxa"/>
            <w:bottom w:w="0" w:type="dxa"/>
            <w:right w:w="108" w:type="dxa"/>
          </w:tblCellMar>
        </w:tblPrEx>
        <w:trPr>
          <w:trHeight w:val="522" w:hRule="exact"/>
        </w:trPr>
        <w:tc>
          <w:tcPr>
            <w:tcW w:w="3227" w:type="dxa"/>
            <w:gridSpan w:val="4"/>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供应商名称（公章）：</w:t>
            </w:r>
          </w:p>
        </w:tc>
        <w:tc>
          <w:tcPr>
            <w:tcW w:w="4536" w:type="dxa"/>
            <w:gridSpan w:val="2"/>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vAlign w:val="center"/>
          </w:tcPr>
          <w:p>
            <w:pPr>
              <w:kinsoku/>
              <w:wordWrap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vAlign w:val="center"/>
          </w:tcPr>
          <w:p>
            <w:pPr>
              <w:kinsoku/>
              <w:wordWrap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282" w:type="dxa"/>
            <w:tcBorders>
              <w:top w:val="nil"/>
              <w:left w:val="nil"/>
              <w:bottom w:val="single" w:color="auto" w:sz="4" w:space="0"/>
              <w:right w:val="nil"/>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p>
        </w:tc>
      </w:tr>
      <w:tr>
        <w:tblPrEx>
          <w:tblCellMar>
            <w:top w:w="0" w:type="dxa"/>
            <w:left w:w="108" w:type="dxa"/>
            <w:bottom w:w="0" w:type="dxa"/>
            <w:right w:w="108" w:type="dxa"/>
          </w:tblCellMar>
        </w:tblPrEx>
        <w:trPr>
          <w:trHeight w:val="688"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gridSpan w:val="2"/>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lang w:eastAsia="zh-CN"/>
              </w:rPr>
            </w:pPr>
          </w:p>
        </w:tc>
        <w:tc>
          <w:tcPr>
            <w:tcW w:w="993"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282"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gridSpan w:val="2"/>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c>
          <w:tcPr>
            <w:tcW w:w="1282"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ind w:firstLine="567"/>
              <w:jc w:val="both"/>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atLeast"/>
        </w:trPr>
        <w:tc>
          <w:tcPr>
            <w:tcW w:w="993" w:type="dxa"/>
            <w:gridSpan w:val="2"/>
            <w:tcBorders>
              <w:top w:val="single" w:color="auto" w:sz="4" w:space="0"/>
              <w:left w:val="single" w:color="auto" w:sz="4" w:space="0"/>
              <w:bottom w:val="single" w:color="auto" w:sz="4" w:space="0"/>
              <w:right w:val="single" w:color="auto" w:sz="4" w:space="0"/>
            </w:tcBorders>
          </w:tcPr>
          <w:p>
            <w:pPr>
              <w:kinsoku/>
              <w:wordWrap w:val="0"/>
              <w:spacing w:line="360" w:lineRule="auto"/>
              <w:jc w:val="both"/>
              <w:rPr>
                <w:rFonts w:hint="eastAsia" w:asciiTheme="minorEastAsia" w:hAnsiTheme="minorEastAsia" w:eastAsiaTheme="minorEastAsia" w:cstheme="minorEastAsia"/>
                <w:sz w:val="24"/>
                <w:szCs w:val="24"/>
                <w:lang w:eastAsia="zh-CN"/>
              </w:rPr>
            </w:pPr>
          </w:p>
        </w:tc>
        <w:tc>
          <w:tcPr>
            <w:tcW w:w="13581" w:type="dxa"/>
            <w:gridSpan w:val="10"/>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报价金额合计（大写）：</w:t>
            </w:r>
          </w:p>
        </w:tc>
      </w:tr>
    </w:tbl>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日期：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pPr>
    </w:p>
    <w:bookmarkEnd w:id="18"/>
    <w:p>
      <w:pPr>
        <w:kinsoku/>
        <w:wordWrap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cols w:space="720" w:num="1"/>
          <w:docGrid w:linePitch="332" w:charSpace="0"/>
        </w:sectPr>
      </w:pPr>
    </w:p>
    <w:p>
      <w:pPr>
        <w:kinsoku/>
        <w:wordWrap w:val="0"/>
        <w:spacing w:line="240" w:lineRule="atLeast"/>
        <w:jc w:val="both"/>
        <w:rPr>
          <w:rFonts w:hint="eastAsia" w:asciiTheme="minorEastAsia" w:hAnsiTheme="minorEastAsia" w:eastAsiaTheme="minorEastAsia" w:cstheme="minorEastAsia"/>
          <w:b/>
          <w:bCs/>
          <w:sz w:val="24"/>
          <w:szCs w:val="24"/>
          <w:lang w:eastAsia="zh-CN"/>
        </w:rPr>
      </w:pPr>
    </w:p>
    <w:p>
      <w:pPr>
        <w:kinsoku/>
        <w:wordWrap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pPr>
        <w:kinsoku/>
        <w:wordWrap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采购规格</w:t>
            </w:r>
          </w:p>
        </w:tc>
        <w:tc>
          <w:tcPr>
            <w:tcW w:w="1337"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响应规格</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vAlign w:val="center"/>
          </w:tcPr>
          <w:p>
            <w:pPr>
              <w:kinsoku/>
              <w:wordWrap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tcPr>
          <w:p>
            <w:pPr>
              <w:kinsoku/>
              <w:wordWrap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pPr>
        <w:kinsoku/>
        <w:wordWrap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pPr>
        <w:widowControl w:val="0"/>
        <w:kinsoku/>
        <w:wordWrap w:val="0"/>
        <w:spacing w:line="360" w:lineRule="auto"/>
        <w:ind w:firstLine="450" w:firstLineChars="200"/>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spacing w:line="360" w:lineRule="auto"/>
        <w:jc w:val="both"/>
        <w:rPr>
          <w:rFonts w:hint="eastAsia" w:asciiTheme="minorEastAsia" w:hAnsiTheme="minorEastAsia" w:eastAsiaTheme="minorEastAsia" w:cstheme="minorEastAsia"/>
          <w:b/>
          <w:sz w:val="24"/>
          <w:szCs w:val="24"/>
          <w:lang w:eastAsia="zh-CN"/>
        </w:rPr>
      </w:pPr>
    </w:p>
    <w:p>
      <w:pPr>
        <w:kinsoku/>
        <w:wordWrap w:val="0"/>
        <w:ind w:firstLine="482"/>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jc w:val="both"/>
        <w:rPr>
          <w:rFonts w:hint="eastAsia" w:asciiTheme="minorEastAsia" w:hAnsiTheme="minorEastAsia" w:eastAsiaTheme="minorEastAsia" w:cstheme="minorEastAsia"/>
          <w:b/>
          <w:sz w:val="24"/>
          <w:szCs w:val="24"/>
          <w:lang w:eastAsia="zh-CN"/>
        </w:rPr>
      </w:pPr>
    </w:p>
    <w:p>
      <w:pPr>
        <w:kinsoku/>
        <w:wordWrap w:val="0"/>
        <w:spacing w:line="240" w:lineRule="atLeast"/>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商务偏差表</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采购文件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vAlign w:val="bottom"/>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w:t>
            </w: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vAlign w:val="center"/>
          </w:tcPr>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tcPr>
          <w:p>
            <w:pPr>
              <w:kinsoku/>
              <w:wordWrap w:val="0"/>
              <w:jc w:val="both"/>
              <w:rPr>
                <w:rFonts w:hint="eastAsia" w:asciiTheme="minorEastAsia" w:hAnsiTheme="minorEastAsia" w:eastAsiaTheme="minorEastAsia" w:cstheme="minorEastAsia"/>
                <w:sz w:val="24"/>
                <w:szCs w:val="24"/>
              </w:rPr>
            </w:pPr>
          </w:p>
        </w:tc>
      </w:tr>
    </w:tbl>
    <w:p>
      <w:pPr>
        <w:kinsoku/>
        <w:wordWrap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lang w:eastAsia="zh-CN"/>
        </w:rPr>
        <w:t>供应商</w:t>
      </w:r>
      <w:r>
        <w:rPr>
          <w:rFonts w:hint="eastAsia" w:asciiTheme="minorEastAsia" w:hAnsiTheme="minorEastAsia" w:eastAsiaTheme="minorEastAsia" w:cstheme="minorEastAsia"/>
          <w:b/>
          <w:sz w:val="24"/>
          <w:szCs w:val="24"/>
          <w:lang w:eastAsia="zh-CN"/>
        </w:rPr>
        <w:t>（公章）：法定代表人（负责人）或授权代表（签字）：</w:t>
      </w:r>
    </w:p>
    <w:p>
      <w:pPr>
        <w:widowControl w:val="0"/>
        <w:kinsoku/>
        <w:wordWrap w:val="0"/>
        <w:spacing w:line="360" w:lineRule="auto"/>
        <w:jc w:val="both"/>
        <w:rPr>
          <w:rFonts w:hint="eastAsia" w:asciiTheme="minorEastAsia" w:hAnsiTheme="minorEastAsia" w:eastAsiaTheme="minorEastAsia" w:cstheme="minorEastAsia"/>
          <w:b/>
          <w:bCs/>
          <w:spacing w:val="-8"/>
          <w:sz w:val="24"/>
          <w:szCs w:val="24"/>
          <w:lang w:val="zh-CN" w:eastAsia="zh-CN"/>
        </w:rPr>
      </w:pPr>
      <w:r>
        <w:rPr>
          <w:rFonts w:hint="eastAsia" w:asciiTheme="minorEastAsia" w:hAnsiTheme="minorEastAsia" w:eastAsiaTheme="minorEastAsia" w:cstheme="minorEastAsia"/>
          <w:b/>
          <w:bCs/>
          <w:spacing w:val="-8"/>
          <w:sz w:val="24"/>
          <w:szCs w:val="24"/>
          <w:lang w:eastAsia="zh-CN"/>
        </w:rPr>
        <w:t>日期：</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年</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月</w:t>
      </w:r>
      <w:r>
        <w:rPr>
          <w:rFonts w:hint="eastAsia" w:asciiTheme="minorEastAsia" w:hAnsiTheme="minorEastAsia" w:eastAsiaTheme="minorEastAsia" w:cstheme="minorEastAsia"/>
          <w:b/>
          <w:bCs/>
          <w:spacing w:val="-8"/>
          <w:sz w:val="24"/>
          <w:szCs w:val="24"/>
          <w:u w:val="single"/>
          <w:lang w:eastAsia="zh-CN"/>
        </w:rPr>
        <w:t xml:space="preserve">    </w:t>
      </w:r>
      <w:r>
        <w:rPr>
          <w:rFonts w:hint="eastAsia" w:asciiTheme="minorEastAsia" w:hAnsiTheme="minorEastAsia" w:eastAsiaTheme="minorEastAsia" w:cstheme="minorEastAsia"/>
          <w:b/>
          <w:bCs/>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r>
        <w:rPr>
          <w:rFonts w:hint="eastAsia" w:asciiTheme="minorEastAsia" w:hAnsiTheme="minorEastAsia" w:eastAsiaTheme="minorEastAsia" w:cstheme="minorEastAsia"/>
          <w:b/>
          <w:bCs/>
          <w:spacing w:val="-3"/>
          <w:sz w:val="24"/>
          <w:szCs w:val="24"/>
          <w:lang w:eastAsia="zh-CN"/>
        </w:rPr>
        <w:t>六、供应商诚信承诺书</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z w:val="32"/>
          <w:szCs w:val="32"/>
          <w:lang w:eastAsia="zh-CN"/>
          <w14:textOutline w14:w="2311" w14:cap="flat" w14:cmpd="sng" w14:algn="ctr">
            <w14:solidFill>
              <w14:srgbClr w14:val="000000"/>
            </w14:solidFill>
            <w14:prstDash w14:val="solid"/>
            <w14:miter w14:val="0"/>
          </w14:textOutline>
        </w:rPr>
        <w:t>诚信承诺书</w:t>
      </w:r>
    </w:p>
    <w:p>
      <w:pPr>
        <w:kinsoku/>
        <w:wordWrap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为维护市场公平竞争，营造诚实守信的公共资源交易环境，本公司郑重承诺：</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本次采购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2、本公司在参加本项目过程中严格遵守各项诚信廉洁规定，如有违反，自愿按规定接受处罚。</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p>
    <w:p>
      <w:pPr>
        <w:kinsoku/>
        <w:wordWrap w:val="0"/>
        <w:spacing w:line="360" w:lineRule="auto"/>
        <w:ind w:firstLine="1562" w:firstLineChars="651"/>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承诺人法定名称（盖章）：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承诺人法定地址：</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授权代表（签字或盖章）：</w:t>
      </w:r>
    </w:p>
    <w:p>
      <w:pPr>
        <w:kinsoku/>
        <w:wordWrap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ab/>
      </w:r>
      <w:r>
        <w:rPr>
          <w:rFonts w:hint="eastAsia" w:asciiTheme="minorEastAsia" w:hAnsiTheme="minorEastAsia" w:eastAsiaTheme="minorEastAsia" w:cstheme="minorEastAsia"/>
          <w:sz w:val="24"/>
          <w:szCs w:val="24"/>
          <w:lang w:eastAsia="zh-CN"/>
        </w:rPr>
        <w:t>电话：</w:t>
      </w:r>
    </w:p>
    <w:p>
      <w:pPr>
        <w:widowControl w:val="0"/>
        <w:kinsoku/>
        <w:wordWrap w:val="0"/>
        <w:spacing w:line="360" w:lineRule="auto"/>
        <w:ind w:firstLine="1568" w:firstLineChars="700"/>
        <w:jc w:val="both"/>
        <w:rPr>
          <w:rFonts w:hint="eastAsia" w:asciiTheme="minorEastAsia" w:hAnsiTheme="minorEastAsia" w:eastAsiaTheme="minorEastAsia" w:cstheme="minorEastAsia"/>
          <w:spacing w:val="-8"/>
          <w:sz w:val="24"/>
          <w:szCs w:val="24"/>
          <w:lang w:val="zh-CN" w:eastAsia="zh-CN"/>
        </w:rPr>
      </w:pPr>
      <w:r>
        <w:rPr>
          <w:rFonts w:hint="eastAsia" w:asciiTheme="minorEastAsia" w:hAnsiTheme="minorEastAsia" w:eastAsiaTheme="minorEastAsia" w:cstheme="minorEastAsia"/>
          <w:spacing w:val="-8"/>
          <w:sz w:val="24"/>
          <w:szCs w:val="24"/>
          <w:lang w:eastAsia="zh-CN"/>
        </w:rPr>
        <w:t>日期：</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spacing w:val="-8"/>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b/>
          <w:bCs/>
          <w:spacing w:val="-3"/>
          <w:sz w:val="24"/>
          <w:szCs w:val="24"/>
          <w:lang w:eastAsia="zh-CN"/>
        </w:rPr>
      </w:pPr>
    </w:p>
    <w:p>
      <w:pPr>
        <w:kinsoku/>
        <w:wordWrap w:val="0"/>
        <w:spacing w:line="360" w:lineRule="auto"/>
        <w:jc w:val="both"/>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spacing w:val="-3"/>
          <w:sz w:val="24"/>
          <w:szCs w:val="24"/>
          <w:lang w:eastAsia="zh-CN"/>
        </w:rPr>
        <w:t>七、供应商认为需要的其他文件资料</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3"/>
          <w:sz w:val="36"/>
          <w:szCs w:val="36"/>
          <w:lang w:eastAsia="zh-CN"/>
          <w14:textOutline w14:w="2311" w14:cap="flat" w14:cmpd="sng" w14:algn="ctr">
            <w14:solidFill>
              <w14:srgbClr w14:val="000000"/>
            </w14:solidFill>
            <w14:prstDash w14:val="solid"/>
            <w14:miter w14:val="0"/>
          </w14:textOutline>
        </w:rPr>
        <w:t>中小企业声明函（货物）格式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0"/>
          <w:sz w:val="24"/>
          <w:szCs w:val="24"/>
          <w:lang w:eastAsia="zh-CN"/>
        </w:rPr>
        <w:t>库﹝2020﹞46号）的规定，本公司（联合体）参加（单位名称）的（项目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pacing w:val="14"/>
          <w:sz w:val="24"/>
          <w:szCs w:val="24"/>
          <w:lang w:eastAsia="zh-CN"/>
        </w:rPr>
        <w:t>采购活动，</w:t>
      </w:r>
      <w:r>
        <w:rPr>
          <w:rFonts w:hint="eastAsia" w:asciiTheme="minorEastAsia" w:hAnsiTheme="minorEastAsia" w:eastAsiaTheme="minorEastAsia" w:cstheme="minorEastAsia"/>
          <w:spacing w:val="-86"/>
          <w:sz w:val="24"/>
          <w:szCs w:val="24"/>
          <w:lang w:eastAsia="zh-CN"/>
        </w:rPr>
        <w:t>提</w:t>
      </w:r>
      <w:r>
        <w:rPr>
          <w:rFonts w:hint="eastAsia" w:asciiTheme="minorEastAsia" w:hAnsiTheme="minorEastAsia" w:eastAsiaTheme="minorEastAsia" w:cstheme="minorEastAsia"/>
          <w:spacing w:val="14"/>
          <w:sz w:val="24"/>
          <w:szCs w:val="24"/>
          <w:lang w:eastAsia="zh-CN"/>
        </w:rPr>
        <w:t>供的货物全部由符合政策要求的</w:t>
      </w:r>
      <w:r>
        <w:rPr>
          <w:rFonts w:hint="eastAsia" w:asciiTheme="minorEastAsia" w:hAnsiTheme="minorEastAsia" w:eastAsiaTheme="minorEastAsia" w:cstheme="minorEastAsia"/>
          <w:spacing w:val="13"/>
          <w:sz w:val="24"/>
          <w:szCs w:val="24"/>
          <w:lang w:eastAsia="zh-CN"/>
        </w:rPr>
        <w:t>中小企业制造。相关企业（含联合体</w:t>
      </w:r>
      <w:r>
        <w:rPr>
          <w:rFonts w:hint="eastAsia" w:asciiTheme="minorEastAsia" w:hAnsiTheme="minorEastAsia" w:eastAsiaTheme="minorEastAsia" w:cstheme="minorEastAsia"/>
          <w:spacing w:val="8"/>
          <w:sz w:val="24"/>
          <w:szCs w:val="24"/>
          <w:lang w:eastAsia="zh-CN"/>
        </w:rPr>
        <w:t>中的中小企业、签订分包意向协议的中小企业）的具体情况如下：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1.</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1"/>
          <w:sz w:val="24"/>
          <w:szCs w:val="24"/>
          <w:u w:val="single"/>
          <w:lang w:eastAsia="zh-CN"/>
        </w:rPr>
        <w:t>）</w:t>
      </w:r>
      <w:r>
        <w:rPr>
          <w:rFonts w:hint="eastAsia" w:asciiTheme="minorEastAsia" w:hAnsiTheme="minorEastAsia" w:eastAsiaTheme="minorEastAsia" w:cstheme="minorEastAsia"/>
          <w:spacing w:val="-41"/>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3"/>
          <w:sz w:val="24"/>
          <w:szCs w:val="24"/>
          <w:u w:val="single"/>
          <w:lang w:eastAsia="zh-CN"/>
        </w:rPr>
        <w:t>称</w:t>
      </w:r>
      <w:r>
        <w:rPr>
          <w:rFonts w:hint="eastAsia" w:asciiTheme="minorEastAsia" w:hAnsiTheme="minorEastAsia" w:eastAsiaTheme="minorEastAsia" w:cstheme="minorEastAsia"/>
          <w:spacing w:val="-40"/>
          <w:sz w:val="24"/>
          <w:szCs w:val="24"/>
          <w:u w:val="single"/>
          <w:lang w:eastAsia="zh-CN"/>
        </w:rPr>
        <w:t>）</w:t>
      </w:r>
      <w:r>
        <w:rPr>
          <w:rFonts w:hint="eastAsia" w:asciiTheme="minorEastAsia" w:hAnsiTheme="minorEastAsia" w:eastAsiaTheme="minorEastAsia" w:cstheme="minorEastAsia"/>
          <w:spacing w:val="-40"/>
          <w:sz w:val="24"/>
          <w:szCs w:val="24"/>
          <w:lang w:eastAsia="zh-CN"/>
        </w:rPr>
        <w:t>，</w:t>
      </w:r>
      <w:r>
        <w:rPr>
          <w:rFonts w:hint="eastAsia" w:asciiTheme="minorEastAsia" w:hAnsiTheme="minorEastAsia" w:eastAsiaTheme="minorEastAsia" w:cstheme="minorEastAsia"/>
          <w:spacing w:val="3"/>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人，</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3"/>
          <w:sz w:val="24"/>
          <w:szCs w:val="24"/>
          <w:lang w:eastAsia="zh-CN"/>
        </w:rPr>
        <w:t>，属于</w:t>
      </w:r>
      <w:r>
        <w:rPr>
          <w:rFonts w:hint="eastAsia" w:asciiTheme="minorEastAsia" w:hAnsiTheme="minorEastAsia" w:eastAsiaTheme="minorEastAsia" w:cstheme="minorEastAsia"/>
          <w:spacing w:val="2"/>
          <w:sz w:val="24"/>
          <w:szCs w:val="24"/>
          <w:u w:val="single"/>
          <w:lang w:eastAsia="zh-CN"/>
        </w:rPr>
        <w:t>（中型企业、小型企业、微型企业</w:t>
      </w:r>
      <w:r>
        <w:rPr>
          <w:rFonts w:hint="eastAsia" w:asciiTheme="minorEastAsia" w:hAnsiTheme="minorEastAsia" w:eastAsiaTheme="minorEastAsia" w:cstheme="minorEastAsia"/>
          <w:spacing w:val="-51"/>
          <w:sz w:val="24"/>
          <w:szCs w:val="24"/>
          <w:u w:val="single"/>
          <w:lang w:eastAsia="zh-CN"/>
        </w:rPr>
        <w:t>）</w:t>
      </w:r>
      <w:r>
        <w:rPr>
          <w:rFonts w:hint="eastAsia" w:asciiTheme="minorEastAsia" w:hAnsiTheme="minorEastAsia" w:eastAsiaTheme="minorEastAsia" w:cstheme="minorEastAsia"/>
          <w:spacing w:val="-51"/>
          <w:sz w:val="24"/>
          <w:szCs w:val="24"/>
          <w:lang w:eastAsia="zh-CN"/>
        </w:rPr>
        <w:t>；</w:t>
      </w:r>
    </w:p>
    <w:p>
      <w:pPr>
        <w:pStyle w:val="9"/>
        <w:kinsoku/>
        <w:wordWrap w:val="0"/>
        <w:spacing w:line="360" w:lineRule="auto"/>
        <w:ind w:firstLine="51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u w:val="single"/>
          <w:lang w:eastAsia="zh-CN"/>
        </w:rPr>
        <w:t>（标的名称</w:t>
      </w:r>
      <w:r>
        <w:rPr>
          <w:rFonts w:hint="eastAsia" w:asciiTheme="minorEastAsia" w:hAnsiTheme="minorEastAsia" w:eastAsiaTheme="minorEastAsia" w:cstheme="minorEastAsia"/>
          <w:spacing w:val="-43"/>
          <w:sz w:val="24"/>
          <w:szCs w:val="24"/>
          <w:u w:val="single"/>
          <w:lang w:eastAsia="zh-CN"/>
        </w:rPr>
        <w:t>）</w:t>
      </w:r>
      <w:r>
        <w:rPr>
          <w:rFonts w:hint="eastAsia" w:asciiTheme="minorEastAsia" w:hAnsiTheme="minorEastAsia" w:eastAsiaTheme="minorEastAsia" w:cstheme="minorEastAsia"/>
          <w:spacing w:val="-43"/>
          <w:sz w:val="24"/>
          <w:szCs w:val="24"/>
          <w:lang w:eastAsia="zh-CN"/>
        </w:rPr>
        <w:t>，</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u w:val="single"/>
          <w:lang w:eastAsia="zh-CN"/>
        </w:rPr>
        <w:t>（采购文件中明确的所属行业）</w:t>
      </w:r>
      <w:r>
        <w:rPr>
          <w:rFonts w:hint="eastAsia" w:asciiTheme="minorEastAsia" w:hAnsiTheme="minorEastAsia" w:eastAsiaTheme="minorEastAsia" w:cstheme="minorEastAsia"/>
          <w:spacing w:val="7"/>
          <w:sz w:val="24"/>
          <w:szCs w:val="24"/>
          <w:lang w:eastAsia="zh-CN"/>
        </w:rPr>
        <w:t>行业；制造商为</w:t>
      </w:r>
      <w:r>
        <w:rPr>
          <w:rFonts w:hint="eastAsia" w:asciiTheme="minorEastAsia" w:hAnsiTheme="minorEastAsia" w:eastAsiaTheme="minorEastAsia" w:cstheme="minorEastAsia"/>
          <w:spacing w:val="7"/>
          <w:sz w:val="24"/>
          <w:szCs w:val="24"/>
          <w:u w:val="single"/>
          <w:lang w:eastAsia="zh-CN"/>
        </w:rPr>
        <w:t>（企业名</w:t>
      </w:r>
      <w:r>
        <w:rPr>
          <w:rFonts w:hint="eastAsia" w:asciiTheme="minorEastAsia" w:hAnsiTheme="minorEastAsia" w:eastAsiaTheme="minorEastAsia" w:cstheme="minorEastAsia"/>
          <w:spacing w:val="-5"/>
          <w:sz w:val="24"/>
          <w:szCs w:val="24"/>
          <w:u w:val="single"/>
          <w:lang w:eastAsia="zh-CN"/>
        </w:rPr>
        <w:t>称</w:t>
      </w:r>
      <w:r>
        <w:rPr>
          <w:rFonts w:hint="eastAsia" w:asciiTheme="minorEastAsia" w:hAnsiTheme="minorEastAsia" w:eastAsiaTheme="minorEastAsia" w:cstheme="minorEastAsia"/>
          <w:spacing w:val="-59"/>
          <w:w w:val="94"/>
          <w:sz w:val="24"/>
          <w:szCs w:val="24"/>
          <w:u w:val="single"/>
          <w:lang w:eastAsia="zh-CN"/>
        </w:rPr>
        <w:t>）</w:t>
      </w:r>
      <w:r>
        <w:rPr>
          <w:rFonts w:hint="eastAsia" w:asciiTheme="minorEastAsia" w:hAnsiTheme="minorEastAsia" w:eastAsiaTheme="minorEastAsia" w:cstheme="minorEastAsia"/>
          <w:spacing w:val="-59"/>
          <w:w w:val="94"/>
          <w:sz w:val="24"/>
          <w:szCs w:val="24"/>
          <w:lang w:eastAsia="zh-CN"/>
        </w:rPr>
        <w:t>，</w:t>
      </w:r>
      <w:r>
        <w:rPr>
          <w:rFonts w:hint="eastAsia" w:asciiTheme="minorEastAsia" w:hAnsiTheme="minorEastAsia" w:eastAsiaTheme="minorEastAsia" w:cstheme="minorEastAsia"/>
          <w:spacing w:val="-5"/>
          <w:sz w:val="24"/>
          <w:szCs w:val="24"/>
          <w:lang w:eastAsia="zh-CN"/>
        </w:rPr>
        <w:t>从业人员</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5"/>
          <w:sz w:val="24"/>
          <w:szCs w:val="24"/>
          <w:lang w:eastAsia="zh-CN"/>
        </w:rPr>
        <w:t>人，营业收入为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万元，资产总额为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5"/>
          <w:sz w:val="24"/>
          <w:szCs w:val="24"/>
          <w:lang w:eastAsia="zh-CN"/>
        </w:rPr>
        <w:t>万元，属于</w:t>
      </w:r>
      <w:r>
        <w:rPr>
          <w:rFonts w:hint="eastAsia" w:asciiTheme="minorEastAsia" w:hAnsiTheme="minorEastAsia" w:eastAsiaTheme="minorEastAsia" w:cstheme="minorEastAsia"/>
          <w:spacing w:val="-5"/>
          <w:sz w:val="24"/>
          <w:szCs w:val="24"/>
          <w:u w:val="single"/>
          <w:lang w:eastAsia="zh-CN"/>
        </w:rPr>
        <w:t>（中</w:t>
      </w:r>
      <w:r>
        <w:rPr>
          <w:rFonts w:hint="eastAsia" w:asciiTheme="minorEastAsia" w:hAnsiTheme="minorEastAsia" w:eastAsiaTheme="minorEastAsia" w:cstheme="minorEastAsia"/>
          <w:spacing w:val="9"/>
          <w:sz w:val="24"/>
          <w:szCs w:val="24"/>
          <w:u w:val="single"/>
          <w:lang w:eastAsia="zh-CN"/>
        </w:rPr>
        <w:t>型企业、小型企业、微型企业</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以上企业，不属于大企业的分支机构，不存在控股股东为大企业的情形，也不存在与大企业的负责人为同一人的情形。</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本企业对上述声明内容的真实性负责。如有虚假，将依法承担相应责任。</w:t>
      </w:r>
    </w:p>
    <w:p>
      <w:pPr>
        <w:pStyle w:val="9"/>
        <w:kinsoku/>
        <w:wordWrap w:val="0"/>
        <w:spacing w:line="360" w:lineRule="auto"/>
        <w:ind w:firstLine="496" w:firstLineChars="200"/>
        <w:jc w:val="both"/>
        <w:rPr>
          <w:rFonts w:hint="eastAsia" w:asciiTheme="minorEastAsia" w:hAnsiTheme="minorEastAsia" w:eastAsiaTheme="minorEastAsia" w:cstheme="minorEastAsia"/>
          <w:spacing w:val="4"/>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4444" w:firstLineChars="2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p>
    <w:p>
      <w:pPr>
        <w:kinsoku/>
        <w:wordWrap w:val="0"/>
        <w:spacing w:line="360" w:lineRule="auto"/>
        <w:ind w:firstLine="4560" w:firstLineChars="19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10080" w:firstLineChars="42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jc w:val="both"/>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2"/>
          <w:sz w:val="36"/>
          <w:szCs w:val="36"/>
          <w:lang w:eastAsia="zh-CN"/>
          <w14:textOutline w14:w="2311" w14:cap="flat" w14:cmpd="sng" w14:algn="ctr">
            <w14:solidFill>
              <w14:srgbClr w14:val="000000"/>
            </w14:solidFill>
            <w14:prstDash w14:val="solid"/>
            <w14:miter w14:val="0"/>
          </w14:textOutline>
        </w:rPr>
        <w:t>中小企业声明函（工程、服务）格式</w:t>
      </w: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lang w:eastAsia="zh-CN"/>
        </w:rPr>
        <w:t>本公司（联合体）郑重声明，根据《政府采购促进中小企业发展管理办法》（财</w:t>
      </w: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0"/>
          <w:sz w:val="24"/>
          <w:szCs w:val="24"/>
          <w:lang w:eastAsia="zh-CN"/>
        </w:rPr>
        <w:t>库﹝2020﹞46 号）</w:t>
      </w:r>
      <w:r>
        <w:rPr>
          <w:rFonts w:hint="eastAsia" w:asciiTheme="minorEastAsia" w:hAnsiTheme="minorEastAsia" w:eastAsiaTheme="minorEastAsia" w:cstheme="minorEastAsia"/>
          <w:spacing w:val="-66"/>
          <w:sz w:val="24"/>
          <w:szCs w:val="24"/>
          <w:lang w:eastAsia="zh-CN"/>
        </w:rPr>
        <w:t xml:space="preserve"> </w:t>
      </w:r>
      <w:r>
        <w:rPr>
          <w:rFonts w:hint="eastAsia" w:asciiTheme="minorEastAsia" w:hAnsiTheme="minorEastAsia" w:eastAsiaTheme="minorEastAsia" w:cstheme="minorEastAsia"/>
          <w:spacing w:val="10"/>
          <w:sz w:val="24"/>
          <w:szCs w:val="24"/>
          <w:lang w:eastAsia="zh-CN"/>
        </w:rPr>
        <w:t>的规定，本公司（联合体）参加（单位名称）</w:t>
      </w:r>
      <w:r>
        <w:rPr>
          <w:rFonts w:hint="eastAsia" w:asciiTheme="minorEastAsia" w:hAnsiTheme="minorEastAsia" w:eastAsiaTheme="minorEastAsia" w:cstheme="minorEastAsia"/>
          <w:spacing w:val="-67"/>
          <w:sz w:val="24"/>
          <w:szCs w:val="24"/>
          <w:lang w:eastAsia="zh-CN"/>
        </w:rPr>
        <w:t xml:space="preserve"> </w:t>
      </w:r>
      <w:r>
        <w:rPr>
          <w:rFonts w:hint="eastAsia" w:asciiTheme="minorEastAsia" w:hAnsiTheme="minorEastAsia" w:eastAsiaTheme="minorEastAsia" w:cstheme="minorEastAsia"/>
          <w:spacing w:val="10"/>
          <w:sz w:val="24"/>
          <w:szCs w:val="24"/>
          <w:lang w:eastAsia="zh-CN"/>
        </w:rPr>
        <w:t>的（项目</w:t>
      </w:r>
      <w:r>
        <w:rPr>
          <w:rFonts w:hint="eastAsia" w:asciiTheme="minorEastAsia" w:hAnsiTheme="minorEastAsia" w:eastAsiaTheme="minorEastAsia" w:cstheme="minorEastAsia"/>
          <w:spacing w:val="9"/>
          <w:sz w:val="24"/>
          <w:szCs w:val="24"/>
          <w:lang w:eastAsia="zh-CN"/>
        </w:rPr>
        <w:t>名称）</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12"/>
          <w:sz w:val="24"/>
          <w:szCs w:val="24"/>
          <w:lang w:eastAsia="zh-CN"/>
        </w:rPr>
        <w:t>采购活动，工程的施工单位全部为符合政策要求</w:t>
      </w:r>
      <w:r>
        <w:rPr>
          <w:rFonts w:hint="eastAsia" w:asciiTheme="minorEastAsia" w:hAnsiTheme="minorEastAsia" w:eastAsiaTheme="minorEastAsia" w:cstheme="minorEastAsia"/>
          <w:spacing w:val="11"/>
          <w:sz w:val="24"/>
          <w:szCs w:val="24"/>
          <w:lang w:eastAsia="zh-CN"/>
        </w:rPr>
        <w:t>的中小企业（或者：服务全部由符</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5"/>
          <w:sz w:val="24"/>
          <w:szCs w:val="24"/>
          <w:lang w:eastAsia="zh-CN"/>
        </w:rPr>
        <w:t>合政策要求的中小企业承接）。相关企业（含联合体中的中小企业</w:t>
      </w:r>
      <w:r>
        <w:rPr>
          <w:rFonts w:hint="eastAsia" w:asciiTheme="minorEastAsia" w:hAnsiTheme="minorEastAsia" w:eastAsiaTheme="minorEastAsia" w:cstheme="minorEastAsia"/>
          <w:spacing w:val="4"/>
          <w:sz w:val="24"/>
          <w:szCs w:val="24"/>
          <w:lang w:eastAsia="zh-CN"/>
        </w:rPr>
        <w:t>、签订分包意向协</w:t>
      </w:r>
      <w:r>
        <w:rPr>
          <w:rFonts w:hint="eastAsia" w:asciiTheme="minorEastAsia" w:hAnsiTheme="minorEastAsia" w:eastAsiaTheme="minorEastAsia" w:cstheme="minorEastAsia"/>
          <w:spacing w:val="6"/>
          <w:sz w:val="24"/>
          <w:szCs w:val="24"/>
          <w:lang w:eastAsia="zh-CN"/>
        </w:rPr>
        <w:t>议的中小企业）</w:t>
      </w:r>
      <w:r>
        <w:rPr>
          <w:rFonts w:hint="eastAsia" w:asciiTheme="minorEastAsia" w:hAnsiTheme="minorEastAsia" w:eastAsiaTheme="minorEastAsia" w:cstheme="minorEastAsia"/>
          <w:spacing w:val="-65"/>
          <w:sz w:val="24"/>
          <w:szCs w:val="24"/>
          <w:lang w:eastAsia="zh-CN"/>
        </w:rPr>
        <w:t xml:space="preserve"> </w:t>
      </w:r>
      <w:r>
        <w:rPr>
          <w:rFonts w:hint="eastAsia" w:asciiTheme="minorEastAsia" w:hAnsiTheme="minorEastAsia" w:eastAsiaTheme="minorEastAsia" w:cstheme="minorEastAsia"/>
          <w:spacing w:val="6"/>
          <w:sz w:val="24"/>
          <w:szCs w:val="24"/>
          <w:lang w:eastAsia="zh-CN"/>
        </w:rPr>
        <w:t>的具体情况如下：</w:t>
      </w:r>
    </w:p>
    <w:p>
      <w:pPr>
        <w:pStyle w:val="9"/>
        <w:kinsoku/>
        <w:wordWrap w:val="0"/>
        <w:spacing w:line="360" w:lineRule="auto"/>
        <w:ind w:firstLine="518"/>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8"/>
          <w:sz w:val="24"/>
          <w:szCs w:val="24"/>
          <w:u w:val="single"/>
          <w:lang w:eastAsia="zh-CN"/>
        </w:rPr>
        <w:t>）</w:t>
      </w:r>
      <w:r>
        <w:rPr>
          <w:rFonts w:hint="eastAsia" w:asciiTheme="minorEastAsia" w:hAnsiTheme="minorEastAsia" w:eastAsiaTheme="minorEastAsia" w:cstheme="minorEastAsia"/>
          <w:spacing w:val="-48"/>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w:t>
      </w:r>
      <w:r>
        <w:rPr>
          <w:rFonts w:hint="eastAsia" w:asciiTheme="minorEastAsia" w:hAnsiTheme="minorEastAsia" w:eastAsiaTheme="minorEastAsia" w:cstheme="minorEastAsia"/>
          <w:spacing w:val="7"/>
          <w:sz w:val="24"/>
          <w:szCs w:val="24"/>
          <w:lang w:eastAsia="zh-CN"/>
        </w:rPr>
        <w:t>（承接）企业</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万元</w:t>
      </w:r>
      <w:r>
        <w:rPr>
          <w:rFonts w:hint="eastAsia" w:asciiTheme="minorEastAsia" w:hAnsiTheme="minorEastAsia" w:eastAsiaTheme="minorEastAsia" w:cstheme="minorEastAsia"/>
          <w:spacing w:val="-26"/>
          <w:sz w:val="24"/>
          <w:szCs w:val="24"/>
          <w:lang w:eastAsia="zh-CN"/>
        </w:rPr>
        <w:t xml:space="preserve"> </w:t>
      </w:r>
      <w:r>
        <w:rPr>
          <w:rFonts w:hint="eastAsia" w:asciiTheme="minorEastAsia" w:hAnsiTheme="minorEastAsia" w:eastAsiaTheme="minorEastAsia" w:cstheme="minorEastAsia"/>
          <w:spacing w:val="8"/>
          <w:position w:val="6"/>
          <w:sz w:val="16"/>
          <w:szCs w:val="16"/>
          <w:lang w:eastAsia="zh-CN"/>
        </w:rPr>
        <w:t>1</w:t>
      </w:r>
      <w:r>
        <w:rPr>
          <w:rFonts w:hint="eastAsia" w:asciiTheme="minorEastAsia" w:hAnsiTheme="minorEastAsia" w:eastAsiaTheme="minorEastAsia" w:cstheme="minorEastAsia"/>
          <w:spacing w:val="-12"/>
          <w:position w:val="6"/>
          <w:sz w:val="16"/>
          <w:szCs w:val="16"/>
          <w:lang w:eastAsia="zh-CN"/>
        </w:rPr>
        <w:t xml:space="preserve"> </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（中型企业、小型企业、微型企业</w:t>
      </w:r>
      <w:r>
        <w:rPr>
          <w:rFonts w:hint="eastAsia" w:asciiTheme="minorEastAsia" w:hAnsiTheme="minorEastAsia" w:eastAsiaTheme="minorEastAsia" w:cstheme="minorEastAsia"/>
          <w:spacing w:val="-50"/>
          <w:sz w:val="24"/>
          <w:szCs w:val="24"/>
          <w:u w:val="single"/>
          <w:lang w:eastAsia="zh-CN"/>
        </w:rPr>
        <w:t>）</w:t>
      </w:r>
      <w:r>
        <w:rPr>
          <w:rFonts w:hint="eastAsia" w:asciiTheme="minorEastAsia" w:hAnsiTheme="minorEastAsia" w:eastAsiaTheme="minorEastAsia" w:cstheme="minorEastAsia"/>
          <w:spacing w:val="-50"/>
          <w:sz w:val="24"/>
          <w:szCs w:val="24"/>
          <w:lang w:eastAsia="zh-CN"/>
        </w:rPr>
        <w:t>；</w:t>
      </w:r>
    </w:p>
    <w:p>
      <w:pPr>
        <w:pStyle w:val="9"/>
        <w:kinsoku/>
        <w:wordWrap w:val="0"/>
        <w:spacing w:line="360" w:lineRule="auto"/>
        <w:ind w:firstLine="509"/>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u w:val="single"/>
          <w:lang w:eastAsia="zh-CN"/>
        </w:rPr>
        <w:t>（标的名称</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r>
        <w:rPr>
          <w:rFonts w:hint="eastAsia" w:asciiTheme="minorEastAsia" w:hAnsiTheme="minorEastAsia" w:eastAsiaTheme="minorEastAsia" w:cstheme="minorEastAsia"/>
          <w:spacing w:val="8"/>
          <w:sz w:val="24"/>
          <w:szCs w:val="24"/>
          <w:lang w:eastAsia="zh-CN"/>
        </w:rPr>
        <w:t>属于</w:t>
      </w:r>
      <w:r>
        <w:rPr>
          <w:rFonts w:hint="eastAsia" w:asciiTheme="minorEastAsia" w:hAnsiTheme="minorEastAsia" w:eastAsiaTheme="minorEastAsia" w:cstheme="minorEastAsia"/>
          <w:spacing w:val="8"/>
          <w:sz w:val="24"/>
          <w:szCs w:val="24"/>
          <w:u w:val="single"/>
          <w:lang w:eastAsia="zh-CN"/>
        </w:rPr>
        <w:t>（采购文件中明确的所属行业）</w:t>
      </w:r>
      <w:r>
        <w:rPr>
          <w:rFonts w:hint="eastAsia" w:asciiTheme="minorEastAsia" w:hAnsiTheme="minorEastAsia" w:eastAsiaTheme="minorEastAsia" w:cstheme="minorEastAsia"/>
          <w:spacing w:val="8"/>
          <w:sz w:val="24"/>
          <w:szCs w:val="24"/>
          <w:lang w:eastAsia="zh-CN"/>
        </w:rPr>
        <w:t>行业；承建（承接）企业</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pacing w:val="7"/>
          <w:sz w:val="24"/>
          <w:szCs w:val="24"/>
          <w:lang w:eastAsia="zh-CN"/>
        </w:rPr>
        <w:t>为</w:t>
      </w:r>
      <w:r>
        <w:rPr>
          <w:rFonts w:hint="eastAsia" w:asciiTheme="minorEastAsia" w:hAnsiTheme="minorEastAsia" w:eastAsiaTheme="minorEastAsia" w:cstheme="minorEastAsia"/>
          <w:spacing w:val="7"/>
          <w:sz w:val="24"/>
          <w:szCs w:val="24"/>
          <w:u w:val="single"/>
          <w:lang w:eastAsia="zh-CN"/>
        </w:rPr>
        <w:t>（企业名称</w:t>
      </w:r>
      <w:r>
        <w:rPr>
          <w:rFonts w:hint="eastAsia" w:asciiTheme="minorEastAsia" w:hAnsiTheme="minorEastAsia" w:eastAsiaTheme="minorEastAsia" w:cstheme="minorEastAsia"/>
          <w:spacing w:val="-25"/>
          <w:sz w:val="24"/>
          <w:szCs w:val="24"/>
          <w:u w:val="single"/>
          <w:lang w:eastAsia="zh-CN"/>
        </w:rPr>
        <w:t>）</w:t>
      </w:r>
      <w:r>
        <w:rPr>
          <w:rFonts w:hint="eastAsia" w:asciiTheme="minorEastAsia" w:hAnsiTheme="minorEastAsia" w:eastAsiaTheme="minorEastAsia" w:cstheme="minorEastAsia"/>
          <w:spacing w:val="-25"/>
          <w:sz w:val="24"/>
          <w:szCs w:val="24"/>
          <w:lang w:eastAsia="zh-CN"/>
        </w:rPr>
        <w:t>，</w:t>
      </w:r>
      <w:r>
        <w:rPr>
          <w:rFonts w:hint="eastAsia" w:asciiTheme="minorEastAsia" w:hAnsiTheme="minorEastAsia" w:eastAsiaTheme="minorEastAsia" w:cstheme="minorEastAsia"/>
          <w:spacing w:val="7"/>
          <w:sz w:val="24"/>
          <w:szCs w:val="24"/>
          <w:lang w:eastAsia="zh-CN"/>
        </w:rPr>
        <w:t>从业人员</w:t>
      </w:r>
      <w:r>
        <w:rPr>
          <w:rFonts w:hint="eastAsia" w:asciiTheme="minorEastAsia" w:hAnsiTheme="minorEastAsia" w:eastAsiaTheme="minorEastAsia" w:cstheme="minorEastAsia"/>
          <w:spacing w:val="-105"/>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7"/>
          <w:sz w:val="24"/>
          <w:szCs w:val="24"/>
          <w:lang w:eastAsia="zh-CN"/>
        </w:rPr>
        <w:t>人，</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营业收入为</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1"/>
          <w:sz w:val="24"/>
          <w:szCs w:val="24"/>
          <w:lang w:eastAsia="zh-CN"/>
        </w:rPr>
        <w:t xml:space="preserve"> </w:t>
      </w:r>
      <w:r>
        <w:rPr>
          <w:rFonts w:hint="eastAsia" w:asciiTheme="minorEastAsia" w:hAnsiTheme="minorEastAsia" w:eastAsiaTheme="minorEastAsia" w:cstheme="minorEastAsia"/>
          <w:spacing w:val="7"/>
          <w:sz w:val="24"/>
          <w:szCs w:val="24"/>
          <w:lang w:eastAsia="zh-CN"/>
        </w:rPr>
        <w:t>万元，</w:t>
      </w:r>
      <w:r>
        <w:rPr>
          <w:rFonts w:hint="eastAsia" w:asciiTheme="minorEastAsia" w:hAnsiTheme="minorEastAsia" w:eastAsiaTheme="minorEastAsia" w:cstheme="minorEastAsia"/>
          <w:spacing w:val="-70"/>
          <w:sz w:val="24"/>
          <w:szCs w:val="24"/>
          <w:lang w:eastAsia="zh-CN"/>
        </w:rPr>
        <w:t xml:space="preserve"> </w:t>
      </w:r>
      <w:r>
        <w:rPr>
          <w:rFonts w:hint="eastAsia" w:asciiTheme="minorEastAsia" w:hAnsiTheme="minorEastAsia" w:eastAsiaTheme="minorEastAsia" w:cstheme="minorEastAsia"/>
          <w:spacing w:val="7"/>
          <w:sz w:val="24"/>
          <w:szCs w:val="24"/>
          <w:lang w:eastAsia="zh-CN"/>
        </w:rPr>
        <w:t>资产总额为</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pacing w:val="10"/>
          <w:sz w:val="24"/>
          <w:szCs w:val="24"/>
          <w:lang w:eastAsia="zh-CN"/>
        </w:rPr>
        <w:t>万元，属于</w:t>
      </w:r>
      <w:r>
        <w:rPr>
          <w:rFonts w:hint="eastAsia" w:asciiTheme="minorEastAsia" w:hAnsiTheme="minorEastAsia" w:eastAsiaTheme="minorEastAsia" w:cstheme="minorEastAsia"/>
          <w:spacing w:val="10"/>
          <w:sz w:val="24"/>
          <w:szCs w:val="24"/>
          <w:u w:val="single"/>
          <w:lang w:eastAsia="zh-CN"/>
        </w:rPr>
        <w:t>（中型企业、小型企业、微型企业</w:t>
      </w:r>
      <w:r>
        <w:rPr>
          <w:rFonts w:hint="eastAsia" w:asciiTheme="minorEastAsia" w:hAnsiTheme="minorEastAsia" w:eastAsiaTheme="minorEastAsia" w:cstheme="minorEastAsia"/>
          <w:spacing w:val="-46"/>
          <w:sz w:val="24"/>
          <w:szCs w:val="24"/>
          <w:u w:val="single"/>
          <w:lang w:eastAsia="zh-CN"/>
        </w:rPr>
        <w:t>）</w:t>
      </w:r>
      <w:r>
        <w:rPr>
          <w:rFonts w:hint="eastAsia" w:asciiTheme="minorEastAsia" w:hAnsiTheme="minorEastAsia" w:eastAsiaTheme="minorEastAsia" w:cstheme="minorEastAsia"/>
          <w:spacing w:val="-46"/>
          <w:sz w:val="24"/>
          <w:szCs w:val="24"/>
          <w:lang w:eastAsia="zh-CN"/>
        </w:rPr>
        <w:t>；</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position w:val="1"/>
          <w:sz w:val="24"/>
          <w:szCs w:val="24"/>
          <w:lang w:eastAsia="zh-CN"/>
        </w:rPr>
        <w:t>……</w:t>
      </w:r>
    </w:p>
    <w:p>
      <w:pPr>
        <w:pStyle w:val="9"/>
        <w:kinsoku/>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17"/>
          <w:sz w:val="24"/>
          <w:szCs w:val="24"/>
          <w:lang w:eastAsia="zh-CN"/>
        </w:rPr>
        <w:t>以上企业，不属于大企业的分支机构，不存在控股股东</w:t>
      </w:r>
      <w:r>
        <w:rPr>
          <w:rFonts w:hint="eastAsia" w:asciiTheme="minorEastAsia" w:hAnsiTheme="minorEastAsia" w:eastAsiaTheme="minorEastAsia" w:cstheme="minorEastAsia"/>
          <w:spacing w:val="10"/>
          <w:position w:val="17"/>
          <w:sz w:val="24"/>
          <w:szCs w:val="24"/>
          <w:lang w:eastAsia="zh-CN"/>
        </w:rPr>
        <w:t>为大企业的情形，也不</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lang w:eastAsia="zh-CN"/>
        </w:rPr>
        <w:t>存在与大企业的负责人为同一人的情形。</w:t>
      </w:r>
    </w:p>
    <w:p>
      <w:pPr>
        <w:pStyle w:val="9"/>
        <w:kinsoku/>
        <w:wordWrap w:val="0"/>
        <w:spacing w:line="360" w:lineRule="auto"/>
        <w:ind w:firstLine="52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sz w:val="24"/>
          <w:szCs w:val="24"/>
          <w:lang w:eastAsia="zh-CN"/>
        </w:rPr>
        <w:t>本企业对上述声明内容的真实性负责。如有虚假，将依法承担相应责任。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050" w:firstLineChars="25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9"/>
          <w:sz w:val="24"/>
          <w:szCs w:val="24"/>
          <w:lang w:eastAsia="zh-CN"/>
        </w:rPr>
        <w:t>企业名称（盖章</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z w:val="24"/>
          <w:szCs w:val="24"/>
          <w:u w:val="single"/>
          <w:lang w:eastAsia="zh-CN"/>
        </w:rPr>
        <w:t xml:space="preserve">         </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jc w:val="both"/>
        <w:rPr>
          <w:rFonts w:hint="eastAsia" w:asciiTheme="minorEastAsia" w:hAnsiTheme="minorEastAsia" w:eastAsiaTheme="minorEastAsia" w:cstheme="minorEastAsia"/>
          <w:spacing w:val="9"/>
          <w:position w:val="5"/>
          <w:sz w:val="24"/>
          <w:szCs w:val="24"/>
          <w:lang w:eastAsia="zh-CN"/>
        </w:rPr>
      </w:pP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position w:val="5"/>
          <w:sz w:val="24"/>
          <w:szCs w:val="24"/>
          <w:lang w:eastAsia="zh-CN"/>
        </w:rPr>
        <w:t>备注：</w:t>
      </w:r>
      <w:r>
        <w:rPr>
          <w:rFonts w:hint="eastAsia" w:asciiTheme="minorEastAsia" w:hAnsiTheme="minorEastAsia" w:eastAsiaTheme="minorEastAsia" w:cstheme="minorEastAsia"/>
          <w:spacing w:val="9"/>
          <w:sz w:val="24"/>
          <w:szCs w:val="24"/>
          <w:lang w:eastAsia="zh-CN"/>
        </w:rPr>
        <w:t>从业人员、营业收入、资产总额填报上一年度数据，无上一年度数据的新成立企业可不填报。</w:t>
      </w:r>
    </w:p>
    <w:p>
      <w:pPr>
        <w:pStyle w:val="9"/>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残疾人福利性单位声明函格式</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本单位郑重声明，根据《财政部民政部中国残疾人联合会关于促进残疾人就</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业政府采购政策的通知》（财库〔2017〕141号）的规定，本单位</w:t>
      </w:r>
      <w:r>
        <w:rPr>
          <w:rFonts w:hint="eastAsia" w:asciiTheme="minorEastAsia" w:hAnsiTheme="minorEastAsia" w:eastAsiaTheme="minorEastAsia" w:cstheme="minorEastAsia"/>
          <w:spacing w:val="3"/>
          <w:sz w:val="24"/>
          <w:szCs w:val="24"/>
          <w:lang w:eastAsia="zh-CN"/>
          <w14:textOutline w14:w="1536" w14:cap="flat" w14:cmpd="sng" w14:algn="ctr">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lang w:eastAsia="zh-CN"/>
          <w14:textOutline w14:w="1536" w14:cap="flat" w14:cmpd="sng" w14:algn="ctr">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lang w:eastAsia="zh-CN"/>
        </w:rPr>
        <w:t>：</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lang w:eastAsia="zh-CN"/>
          <w14:textOutline w14:w="1536" w14:cap="flat" w14:cmpd="sng" w14:algn="ctr">
            <w14:solidFill>
              <w14:srgbClr w14:val="000000"/>
            </w14:solidFill>
            <w14:prstDash w14:val="solid"/>
            <w14:miter w14:val="0"/>
          </w14:textOutline>
        </w:rPr>
        <w:t>不属于符合条件的残疾人福利性单位。</w:t>
      </w:r>
    </w:p>
    <w:p>
      <w:pPr>
        <w:pStyle w:val="9"/>
        <w:kinsoku/>
        <w:wordWrap w:val="0"/>
        <w:spacing w:line="360" w:lineRule="auto"/>
        <w:ind w:firstLine="484"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lang w:eastAsia="zh-CN"/>
          <w14:textOutline w14:w="1536" w14:cap="flat" w14:cmpd="sng" w14:algn="ctr">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lang w:eastAsia="zh-CN"/>
        </w:rPr>
        <w:t>且本单位参加</w:t>
      </w:r>
      <w:r>
        <w:rPr>
          <w:rFonts w:hint="eastAsia" w:asciiTheme="minorEastAsia" w:hAnsiTheme="minorEastAsia" w:eastAsiaTheme="minorEastAsia" w:cstheme="minorEastAsia"/>
          <w:spacing w:val="-107"/>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8"/>
          <w:sz w:val="24"/>
          <w:szCs w:val="24"/>
          <w:lang w:eastAsia="zh-CN"/>
        </w:rPr>
        <w:t xml:space="preserve"> </w:t>
      </w:r>
      <w:r>
        <w:rPr>
          <w:rFonts w:hint="eastAsia" w:asciiTheme="minorEastAsia" w:hAnsiTheme="minorEastAsia" w:eastAsiaTheme="minorEastAsia" w:cstheme="minorEastAsia"/>
          <w:spacing w:val="10"/>
          <w:sz w:val="24"/>
          <w:szCs w:val="24"/>
          <w:lang w:eastAsia="zh-CN"/>
        </w:rPr>
        <w:t>单位的</w:t>
      </w:r>
      <w:r>
        <w:rPr>
          <w:rFonts w:hint="eastAsia" w:asciiTheme="minorEastAsia" w:hAnsiTheme="minorEastAsia" w:eastAsiaTheme="minorEastAsia" w:cstheme="minorEastAsia"/>
          <w:spacing w:val="-108"/>
          <w:sz w:val="24"/>
          <w:szCs w:val="24"/>
          <w:lang w:eastAsia="zh-CN"/>
        </w:rPr>
        <w:t xml:space="preserve"> </w:t>
      </w:r>
      <w:r>
        <w:rPr>
          <w:rFonts w:hint="eastAsia" w:asciiTheme="minorEastAsia" w:hAnsiTheme="minorEastAsia" w:eastAsiaTheme="minorEastAsia" w:cstheme="minorEastAsia"/>
          <w:spacing w:val="5"/>
          <w:sz w:val="24"/>
          <w:szCs w:val="24"/>
          <w:u w:val="single"/>
          <w:lang w:eastAsia="zh-CN"/>
        </w:rPr>
        <w:t xml:space="preserve">      </w:t>
      </w:r>
      <w:r>
        <w:rPr>
          <w:rFonts w:hint="eastAsia" w:asciiTheme="minorEastAsia" w:hAnsiTheme="minorEastAsia" w:eastAsiaTheme="minorEastAsia" w:cstheme="minorEastAsia"/>
          <w:spacing w:val="-96"/>
          <w:sz w:val="24"/>
          <w:szCs w:val="24"/>
          <w:lang w:eastAsia="zh-CN"/>
        </w:rPr>
        <w:t xml:space="preserve"> </w:t>
      </w:r>
      <w:r>
        <w:rPr>
          <w:rFonts w:hint="eastAsia" w:asciiTheme="minorEastAsia" w:hAnsiTheme="minorEastAsia" w:eastAsiaTheme="minorEastAsia" w:cstheme="minorEastAsia"/>
          <w:spacing w:val="10"/>
          <w:sz w:val="24"/>
          <w:szCs w:val="24"/>
          <w:lang w:eastAsia="zh-CN"/>
        </w:rPr>
        <w:t>项目</w:t>
      </w:r>
      <w:r>
        <w:rPr>
          <w:rFonts w:hint="eastAsia" w:asciiTheme="minorEastAsia" w:hAnsiTheme="minorEastAsia" w:eastAsiaTheme="minorEastAsia" w:cstheme="minorEastAsia"/>
          <w:spacing w:val="21"/>
          <w:sz w:val="24"/>
          <w:szCs w:val="24"/>
          <w:lang w:eastAsia="zh-CN"/>
        </w:rPr>
        <w:t>采购活动提供本单位制造的货物（由本单位承担工程/提供服务</w:t>
      </w:r>
      <w:r>
        <w:rPr>
          <w:rFonts w:hint="eastAsia" w:asciiTheme="minorEastAsia" w:hAnsiTheme="minorEastAsia" w:eastAsiaTheme="minorEastAsia" w:cstheme="minorEastAsia"/>
          <w:spacing w:val="-62"/>
          <w:sz w:val="24"/>
          <w:szCs w:val="24"/>
          <w:lang w:eastAsia="zh-CN"/>
        </w:rPr>
        <w:t>），</w:t>
      </w:r>
      <w:r>
        <w:rPr>
          <w:rFonts w:hint="eastAsia" w:asciiTheme="minorEastAsia" w:hAnsiTheme="minorEastAsia" w:eastAsiaTheme="minorEastAsia" w:cstheme="minorEastAsia"/>
          <w:spacing w:val="-71"/>
          <w:sz w:val="24"/>
          <w:szCs w:val="24"/>
          <w:lang w:eastAsia="zh-CN"/>
        </w:rPr>
        <w:t xml:space="preserve"> </w:t>
      </w:r>
      <w:r>
        <w:rPr>
          <w:rFonts w:hint="eastAsia" w:asciiTheme="minorEastAsia" w:hAnsiTheme="minorEastAsia" w:eastAsiaTheme="minorEastAsia" w:cstheme="minorEastAsia"/>
          <w:spacing w:val="21"/>
          <w:sz w:val="24"/>
          <w:szCs w:val="24"/>
          <w:lang w:eastAsia="zh-CN"/>
        </w:rPr>
        <w:t>或者提供其他残</w:t>
      </w:r>
      <w:r>
        <w:rPr>
          <w:rFonts w:hint="eastAsia" w:asciiTheme="minorEastAsia" w:hAnsiTheme="minorEastAsia" w:eastAsiaTheme="minorEastAsia" w:cstheme="minorEastAsia"/>
          <w:spacing w:val="7"/>
          <w:sz w:val="24"/>
          <w:szCs w:val="24"/>
          <w:lang w:eastAsia="zh-CN"/>
        </w:rPr>
        <w:t>疾人福利性单位制造的货物（不包括使用非残疾人福利性单位注册商标的货物）。</w:t>
      </w:r>
    </w:p>
    <w:p>
      <w:pPr>
        <w:pStyle w:val="9"/>
        <w:kinsoku/>
        <w:wordWrap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lang w:eastAsia="zh-CN"/>
          <w14:textOutline w14:w="1536" w14:cap="flat" w14:cmpd="sng" w14:algn="ctr">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lang w:eastAsia="zh-CN"/>
          <w14:textOutline w14:w="1536" w14:cap="flat" w14:cmpd="sng" w14:algn="ctr">
            <w14:solidFill>
              <w14:srgbClr w14:val="000000"/>
            </w14:solidFill>
            <w14:prstDash w14:val="solid"/>
            <w14:miter w14:val="0"/>
          </w14:textOutline>
        </w:rPr>
        <w:t>承担相应责任。</w:t>
      </w:r>
    </w:p>
    <w:p>
      <w:pPr>
        <w:kinsoku/>
        <w:wordWrap w:val="0"/>
        <w:spacing w:line="360" w:lineRule="auto"/>
        <w:jc w:val="both"/>
        <w:rPr>
          <w:rFonts w:hint="eastAsia" w:asciiTheme="minorEastAsia" w:hAnsiTheme="minorEastAsia" w:eastAsiaTheme="minorEastAsia" w:cstheme="minorEastAsia"/>
          <w:lang w:eastAsia="zh-CN"/>
        </w:rPr>
      </w:pPr>
    </w:p>
    <w:p>
      <w:pPr>
        <w:kinsoku/>
        <w:wordWrap w:val="0"/>
        <w:spacing w:line="360" w:lineRule="auto"/>
        <w:jc w:val="both"/>
        <w:rPr>
          <w:rFonts w:hint="eastAsia" w:asciiTheme="minorEastAsia" w:hAnsiTheme="minorEastAsia" w:eastAsiaTheme="minorEastAsia" w:cstheme="minorEastAsia"/>
          <w:lang w:eastAsia="zh-CN"/>
        </w:rPr>
      </w:pPr>
    </w:p>
    <w:p>
      <w:pPr>
        <w:pStyle w:val="9"/>
        <w:kinsoku/>
        <w:wordWrap w:val="0"/>
        <w:spacing w:line="360" w:lineRule="auto"/>
        <w:ind w:firstLine="5120" w:firstLineChars="20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position w:val="26"/>
          <w:sz w:val="24"/>
          <w:szCs w:val="24"/>
          <w:lang w:eastAsia="zh-CN"/>
        </w:rPr>
        <w:t>单位名称（盖章</w:t>
      </w:r>
      <w:r>
        <w:rPr>
          <w:rFonts w:hint="eastAsia" w:asciiTheme="minorEastAsia" w:hAnsiTheme="minorEastAsia" w:eastAsiaTheme="minorEastAsia" w:cstheme="minorEastAsia"/>
          <w:spacing w:val="-60"/>
          <w:position w:val="26"/>
          <w:sz w:val="24"/>
          <w:szCs w:val="24"/>
          <w:lang w:eastAsia="zh-CN"/>
        </w:rPr>
        <w:t>）：</w:t>
      </w:r>
    </w:p>
    <w:p>
      <w:pPr>
        <w:kinsoku/>
        <w:wordWrap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pStyle w:val="9"/>
        <w:kinsoku/>
        <w:wordWrap w:val="0"/>
        <w:spacing w:line="360" w:lineRule="auto"/>
        <w:ind w:firstLine="6960" w:firstLineChars="2900"/>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hint="eastAsia" w:asciiTheme="minorEastAsia" w:hAnsiTheme="minorEastAsia" w:eastAsiaTheme="minorEastAsia" w:cstheme="minorEastAsia"/>
          <w:sz w:val="24"/>
          <w:szCs w:val="24"/>
          <w:lang w:eastAsia="zh-CN"/>
        </w:rPr>
      </w:pPr>
    </w:p>
    <w:p>
      <w:pPr>
        <w:kinsoku/>
        <w:wordWrap w:val="0"/>
        <w:spacing w:line="360" w:lineRule="auto"/>
        <w:jc w:val="both"/>
        <w:rPr>
          <w:rFonts w:ascii="宋体" w:hAnsi="宋体"/>
          <w:b/>
          <w:sz w:val="28"/>
          <w:szCs w:val="28"/>
          <w:lang w:eastAsia="zh-CN"/>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ascii="宋体" w:hAnsi="宋体"/>
          <w:b/>
          <w:sz w:val="28"/>
          <w:szCs w:val="28"/>
          <w:lang w:eastAsia="zh-CN"/>
        </w:rPr>
      </w:pPr>
      <w: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t>监狱企业声明函格式</w:t>
      </w:r>
    </w:p>
    <w:p>
      <w:pPr>
        <w:kinsoku/>
        <w:wordWrap w:val="0"/>
        <w:spacing w:line="360" w:lineRule="auto"/>
        <w:jc w:val="both"/>
        <w:rPr>
          <w:rFonts w:ascii="宋体" w:hAnsi="宋体"/>
          <w:b/>
          <w:sz w:val="28"/>
          <w:szCs w:val="28"/>
          <w:lang w:eastAsia="zh-CN"/>
        </w:rPr>
      </w:pP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w:t>
      </w:r>
    </w:p>
    <w:p>
      <w:pPr>
        <w:tabs>
          <w:tab w:val="left" w:pos="4860"/>
        </w:tabs>
        <w:kinsoku/>
        <w:wordWrap w:val="0"/>
        <w:spacing w:line="360" w:lineRule="auto"/>
        <w:ind w:firstLine="508"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 xml:space="preserve">                             企业名称（盖章）： </w:t>
      </w:r>
    </w:p>
    <w:p>
      <w:pPr>
        <w:kinsoku/>
        <w:wordWrap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年</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月</w:t>
      </w:r>
      <w:r>
        <w:rPr>
          <w:rFonts w:hint="eastAsia" w:asciiTheme="minorEastAsia" w:hAnsiTheme="minorEastAsia" w:eastAsiaTheme="minorEastAsia" w:cstheme="minorEastAsia"/>
          <w:b/>
          <w:sz w:val="24"/>
          <w:szCs w:val="24"/>
          <w:u w:val="single"/>
          <w:lang w:eastAsia="zh-CN"/>
        </w:rPr>
        <w:t xml:space="preserve">    </w:t>
      </w:r>
      <w:r>
        <w:rPr>
          <w:rFonts w:hint="eastAsia" w:asciiTheme="minorEastAsia" w:hAnsiTheme="minorEastAsia" w:eastAsiaTheme="minorEastAsia" w:cstheme="minorEastAsia"/>
          <w:spacing w:val="-8"/>
          <w:sz w:val="24"/>
          <w:szCs w:val="24"/>
          <w:lang w:eastAsia="zh-CN"/>
        </w:rPr>
        <w:t>日</w:t>
      </w:r>
    </w:p>
    <w:p>
      <w:pPr>
        <w:kinsoku/>
        <w:wordWrap w:val="0"/>
        <w:spacing w:line="360" w:lineRule="auto"/>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kinsoku/>
        <w:wordWrap w:val="0"/>
        <w:spacing w:line="360" w:lineRule="auto"/>
        <w:ind w:firstLine="482" w:firstLineChars="200"/>
        <w:jc w:val="both"/>
        <w:rPr>
          <w:rFonts w:hint="eastAsia" w:asciiTheme="minorEastAsia" w:hAnsiTheme="minorEastAsia" w:eastAsiaTheme="minorEastAsia" w:cstheme="minorEastAsia"/>
          <w:b/>
          <w:bCs/>
          <w:sz w:val="24"/>
          <w:szCs w:val="24"/>
          <w:lang w:val="zh-CN" w:eastAsia="zh-CN"/>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pStyle w:val="9"/>
        <w:kinsoku/>
        <w:wordWrap w:val="0"/>
        <w:spacing w:line="360" w:lineRule="auto"/>
        <w:jc w:val="center"/>
        <w:rPr>
          <w:rFonts w:hint="eastAsia" w:asciiTheme="minorEastAsia" w:hAnsiTheme="minorEastAsia" w:eastAsiaTheme="minorEastAsia" w:cstheme="minorEastAsia"/>
          <w:sz w:val="32"/>
          <w:szCs w:val="32"/>
          <w:lang w:val="zh-CN"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center"/>
        <w:rPr>
          <w:rFonts w:hint="eastAsia" w:asciiTheme="minorEastAsia" w:hAnsiTheme="minorEastAsia" w:eastAsiaTheme="minorEastAsia" w:cstheme="minorEastAsia"/>
          <w:sz w:val="36"/>
          <w:szCs w:val="36"/>
          <w:lang w:eastAsia="zh-CN"/>
          <w14:textOutline w14:w="2311" w14:cap="flat" w14:cmpd="sng" w14:algn="ctr">
            <w14:solidFill>
              <w14:srgbClr w14:val="000000"/>
            </w14:solidFill>
            <w14:prstDash w14:val="solid"/>
            <w14:miter w14:val="0"/>
          </w14:textOutline>
        </w:rPr>
      </w:pPr>
    </w:p>
    <w:p>
      <w:pPr>
        <w:kinsoku/>
        <w:wordWrap w:val="0"/>
        <w:spacing w:line="360" w:lineRule="auto"/>
        <w:jc w:val="both"/>
        <w:rPr>
          <w:rFonts w:hint="eastAsia" w:asciiTheme="minorEastAsia" w:hAnsiTheme="minorEastAsia" w:eastAsiaTheme="minorEastAsia" w:cstheme="minorEastAsia"/>
          <w:lang w:eastAsia="zh-CN"/>
          <w14:textOutline w14:w="2311" w14:cap="flat" w14:cmpd="sng" w14:algn="ctr">
            <w14:solidFill>
              <w14:srgbClr w14:val="000000"/>
            </w14:solidFill>
            <w14:prstDash w14:val="solid"/>
            <w14:miter w14:val="0"/>
          </w14:textOutline>
        </w:rPr>
      </w:pPr>
    </w:p>
    <w:sectPr>
      <w:headerReference r:id="rId13" w:type="default"/>
      <w:footerReference r:id="rId14" w:type="default"/>
      <w:pgSz w:w="11907" w:h="16840"/>
      <w:pgMar w:top="1440" w:right="1800" w:bottom="1440" w:left="18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
    <w:altName w:val="Arial"/>
    <w:panose1 w:val="00000000000000000000"/>
    <w:charset w:val="00"/>
    <w:family w:val="swiss"/>
    <w:pitch w:val="default"/>
    <w:sig w:usb0="00000000" w:usb1="00000000" w:usb2="00000000" w:usb3="00000000" w:csb0="00000001" w:csb1="00000000"/>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Arial Unicode MS">
    <w:altName w:val="HONOR Sans"/>
    <w:panose1 w:val="020B0604020202020204"/>
    <w:charset w:val="00"/>
    <w:family w:val="auto"/>
    <w:pitch w:val="default"/>
    <w:sig w:usb0="00000000" w:usb1="00000000" w:usb2="00000000" w:usb3="00000000" w:csb0="00000000" w:csb1="00000000"/>
  </w:font>
  <w:font w:name="HONOR Sans">
    <w:panose1 w:val="00000200000000000000"/>
    <w:charset w:val="86"/>
    <w:family w:val="auto"/>
    <w:pitch w:val="default"/>
    <w:sig w:usb0="E10006FF" w:usb1="D005207B" w:usb2="00010008" w:usb3="00000000" w:csb0="600401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116336"/>
    </w:sdtPr>
    <w:sdtContent>
      <w:p>
        <w:pPr>
          <w:pStyle w:val="15"/>
        </w:pPr>
        <w:r>
          <w:fldChar w:fldCharType="begin"/>
        </w:r>
        <w:r>
          <w:instrText xml:space="preserve">PAGE   \* MERGEFORMAT</w:instrText>
        </w:r>
        <w:r>
          <w:fldChar w:fldCharType="separate"/>
        </w:r>
        <w:r>
          <w:rPr>
            <w:lang w:val="zh-CN" w:eastAsia="zh-CN"/>
          </w:rPr>
          <w:t>2</w:t>
        </w:r>
        <w:r>
          <w:fldChar w:fldCharType="end"/>
        </w:r>
      </w:p>
    </w:sdtContent>
  </w:sdt>
  <w:p>
    <w:pPr>
      <w:spacing w:line="189" w:lineRule="auto"/>
      <w:ind w:left="4435"/>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8yactAgAAV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38ya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26</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59264;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6vsSv1QAAAAgBAAAPAAAAAAAAAAEAIAAAACIAAABkcnMvZG93bnJldi54bWxQSwECFAAU&#10;AAAACACHTuJAGXgrkC0CAABXBAAADgAAAAAAAAABACAAAAAkAQAAZHJzL2Uyb0RvYy54bWxQSwUG&#10;AAAAAAYABgBZAQAAwwUAAAAA&#10;">
              <v:fill on="f" focussize="0,0"/>
              <v:stroke on="f" weight="0.5pt"/>
              <v:imagedata o:title=""/>
              <o:lock v:ext="edit" aspectratio="f"/>
              <v:textbox inset="0mm,0mm,0mm,0mm" style="mso-fit-shape-to-text:t;">
                <w:txbxContent>
                  <w:p>
                    <w:pPr>
                      <w:pStyle w:val="15"/>
                      <w:rPr>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33</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pPr>
                      <w:pStyle w:val="15"/>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38</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67C6B"/>
    <w:multiLevelType w:val="singleLevel"/>
    <w:tmpl w:val="97267C6B"/>
    <w:lvl w:ilvl="0" w:tentative="0">
      <w:start w:val="1"/>
      <w:numFmt w:val="decimal"/>
      <w:suff w:val="nothing"/>
      <w:lvlText w:val="%1、"/>
      <w:lvlJc w:val="left"/>
    </w:lvl>
  </w:abstractNum>
  <w:abstractNum w:abstractNumId="1">
    <w:nsid w:val="9E6DCEF1"/>
    <w:multiLevelType w:val="singleLevel"/>
    <w:tmpl w:val="9E6DCEF1"/>
    <w:lvl w:ilvl="0" w:tentative="0">
      <w:start w:val="1"/>
      <w:numFmt w:val="chineseCounting"/>
      <w:suff w:val="space"/>
      <w:lvlText w:val="第%1章"/>
      <w:lvlJc w:val="left"/>
      <w:rPr>
        <w:rFonts w:hint="eastAsia"/>
      </w:rPr>
    </w:lvl>
  </w:abstractNum>
  <w:abstractNum w:abstractNumId="2">
    <w:nsid w:val="D9A2EE1E"/>
    <w:multiLevelType w:val="singleLevel"/>
    <w:tmpl w:val="D9A2EE1E"/>
    <w:lvl w:ilvl="0" w:tentative="0">
      <w:start w:val="2"/>
      <w:numFmt w:val="decimal"/>
      <w:lvlText w:val="%1."/>
      <w:lvlJc w:val="left"/>
      <w:pPr>
        <w:tabs>
          <w:tab w:val="left" w:pos="312"/>
        </w:tabs>
      </w:pPr>
    </w:lvl>
  </w:abstractNum>
  <w:abstractNum w:abstractNumId="3">
    <w:nsid w:val="6643FA8D"/>
    <w:multiLevelType w:val="singleLevel"/>
    <w:tmpl w:val="6643FA8D"/>
    <w:lvl w:ilvl="0" w:tentative="0">
      <w:start w:val="3"/>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c3M2Y5NzIzMDFlZjAyY2Q4Njk5ODkyYjFjNzBiNTQifQ=="/>
  </w:docVars>
  <w:rsids>
    <w:rsidRoot w:val="00DF0CD8"/>
    <w:rsid w:val="00004EAF"/>
    <w:rsid w:val="001A6AF7"/>
    <w:rsid w:val="00390BD3"/>
    <w:rsid w:val="00407378"/>
    <w:rsid w:val="0045646E"/>
    <w:rsid w:val="00460D50"/>
    <w:rsid w:val="005817E6"/>
    <w:rsid w:val="006179B1"/>
    <w:rsid w:val="006C3C49"/>
    <w:rsid w:val="007C0BFE"/>
    <w:rsid w:val="007E61E6"/>
    <w:rsid w:val="007E7A08"/>
    <w:rsid w:val="007F7CD2"/>
    <w:rsid w:val="0092013A"/>
    <w:rsid w:val="00967A43"/>
    <w:rsid w:val="00A72878"/>
    <w:rsid w:val="00B374C0"/>
    <w:rsid w:val="00BC65D5"/>
    <w:rsid w:val="00C87505"/>
    <w:rsid w:val="00D95DAE"/>
    <w:rsid w:val="00DF0CD8"/>
    <w:rsid w:val="00F710CA"/>
    <w:rsid w:val="00F7351C"/>
    <w:rsid w:val="02980B47"/>
    <w:rsid w:val="0304627B"/>
    <w:rsid w:val="03F005BF"/>
    <w:rsid w:val="044C330C"/>
    <w:rsid w:val="049308F0"/>
    <w:rsid w:val="05C82C12"/>
    <w:rsid w:val="064B2778"/>
    <w:rsid w:val="06731CDB"/>
    <w:rsid w:val="06BD7DF4"/>
    <w:rsid w:val="08743EB7"/>
    <w:rsid w:val="08896F10"/>
    <w:rsid w:val="08DF64FD"/>
    <w:rsid w:val="095962AF"/>
    <w:rsid w:val="09A960A9"/>
    <w:rsid w:val="0A2175C7"/>
    <w:rsid w:val="0A4E3858"/>
    <w:rsid w:val="0A530F50"/>
    <w:rsid w:val="0ADC6029"/>
    <w:rsid w:val="0C272EF4"/>
    <w:rsid w:val="0C450913"/>
    <w:rsid w:val="0CF167FE"/>
    <w:rsid w:val="0E3E7CBD"/>
    <w:rsid w:val="0EE83C0B"/>
    <w:rsid w:val="0F130CAE"/>
    <w:rsid w:val="0FF95996"/>
    <w:rsid w:val="0FFF7484"/>
    <w:rsid w:val="103E1E24"/>
    <w:rsid w:val="10832DEB"/>
    <w:rsid w:val="11E54B27"/>
    <w:rsid w:val="11F10D0E"/>
    <w:rsid w:val="13504EE3"/>
    <w:rsid w:val="13D318D3"/>
    <w:rsid w:val="14184102"/>
    <w:rsid w:val="142A46A5"/>
    <w:rsid w:val="146A4EE4"/>
    <w:rsid w:val="147A2410"/>
    <w:rsid w:val="14B05372"/>
    <w:rsid w:val="156F62EF"/>
    <w:rsid w:val="15C27640"/>
    <w:rsid w:val="164E1E13"/>
    <w:rsid w:val="16655340"/>
    <w:rsid w:val="16882EF5"/>
    <w:rsid w:val="16FD3ABE"/>
    <w:rsid w:val="172F0E42"/>
    <w:rsid w:val="196A0814"/>
    <w:rsid w:val="1B7E3953"/>
    <w:rsid w:val="1BFF6021"/>
    <w:rsid w:val="1C587110"/>
    <w:rsid w:val="1CC05665"/>
    <w:rsid w:val="1D7F2147"/>
    <w:rsid w:val="1D996CC8"/>
    <w:rsid w:val="1DA01659"/>
    <w:rsid w:val="1E6454A8"/>
    <w:rsid w:val="1FCD677B"/>
    <w:rsid w:val="1FCF1E87"/>
    <w:rsid w:val="208E4164"/>
    <w:rsid w:val="21A07893"/>
    <w:rsid w:val="23554AEF"/>
    <w:rsid w:val="23645F64"/>
    <w:rsid w:val="23F5677C"/>
    <w:rsid w:val="23FB5E39"/>
    <w:rsid w:val="244A2A1D"/>
    <w:rsid w:val="2564491D"/>
    <w:rsid w:val="25B83A87"/>
    <w:rsid w:val="266463E7"/>
    <w:rsid w:val="26E9311B"/>
    <w:rsid w:val="277B168E"/>
    <w:rsid w:val="28032F0B"/>
    <w:rsid w:val="2A3D0E7D"/>
    <w:rsid w:val="2A924A38"/>
    <w:rsid w:val="2AE32E31"/>
    <w:rsid w:val="2C88257A"/>
    <w:rsid w:val="2CD208B5"/>
    <w:rsid w:val="2E6C7ED8"/>
    <w:rsid w:val="2EA57FA1"/>
    <w:rsid w:val="2EF243BC"/>
    <w:rsid w:val="30EF0857"/>
    <w:rsid w:val="3140197F"/>
    <w:rsid w:val="31E05F1C"/>
    <w:rsid w:val="320C16C0"/>
    <w:rsid w:val="32672625"/>
    <w:rsid w:val="32831B16"/>
    <w:rsid w:val="32F6583E"/>
    <w:rsid w:val="333A48FA"/>
    <w:rsid w:val="334A1323"/>
    <w:rsid w:val="33D92F7A"/>
    <w:rsid w:val="343B4BAB"/>
    <w:rsid w:val="34B2130C"/>
    <w:rsid w:val="350E12EA"/>
    <w:rsid w:val="354173ED"/>
    <w:rsid w:val="35992C99"/>
    <w:rsid w:val="360F3354"/>
    <w:rsid w:val="37BD0585"/>
    <w:rsid w:val="37CA6352"/>
    <w:rsid w:val="38533A18"/>
    <w:rsid w:val="396226AE"/>
    <w:rsid w:val="39D064A8"/>
    <w:rsid w:val="3AB900AC"/>
    <w:rsid w:val="3B223EA3"/>
    <w:rsid w:val="3B84135B"/>
    <w:rsid w:val="3BAF7174"/>
    <w:rsid w:val="3D660BE0"/>
    <w:rsid w:val="3DC47494"/>
    <w:rsid w:val="3E822DE3"/>
    <w:rsid w:val="3EB41E07"/>
    <w:rsid w:val="41F66AB4"/>
    <w:rsid w:val="4269758A"/>
    <w:rsid w:val="43D372D6"/>
    <w:rsid w:val="44B74AB0"/>
    <w:rsid w:val="44C27AD5"/>
    <w:rsid w:val="45300AE7"/>
    <w:rsid w:val="463F4C16"/>
    <w:rsid w:val="46832AB5"/>
    <w:rsid w:val="46942B8F"/>
    <w:rsid w:val="48956DF4"/>
    <w:rsid w:val="498A3D49"/>
    <w:rsid w:val="4BBB7B8C"/>
    <w:rsid w:val="4CB97E79"/>
    <w:rsid w:val="4CBA2C7D"/>
    <w:rsid w:val="4CFD651E"/>
    <w:rsid w:val="4E5C03B2"/>
    <w:rsid w:val="4F53436C"/>
    <w:rsid w:val="4F867D89"/>
    <w:rsid w:val="4FA36E2B"/>
    <w:rsid w:val="4FF44B94"/>
    <w:rsid w:val="50CD1D3A"/>
    <w:rsid w:val="50DF62FA"/>
    <w:rsid w:val="51474CD4"/>
    <w:rsid w:val="51E16CC2"/>
    <w:rsid w:val="53221324"/>
    <w:rsid w:val="538452A3"/>
    <w:rsid w:val="53D00CD5"/>
    <w:rsid w:val="554355EF"/>
    <w:rsid w:val="554A067A"/>
    <w:rsid w:val="562B2D19"/>
    <w:rsid w:val="566F2249"/>
    <w:rsid w:val="56F130AE"/>
    <w:rsid w:val="571C70F4"/>
    <w:rsid w:val="578C1E3F"/>
    <w:rsid w:val="58122B18"/>
    <w:rsid w:val="5818537A"/>
    <w:rsid w:val="582157B7"/>
    <w:rsid w:val="583737A8"/>
    <w:rsid w:val="595B0D84"/>
    <w:rsid w:val="59791FCF"/>
    <w:rsid w:val="59C70462"/>
    <w:rsid w:val="5A9F3CAF"/>
    <w:rsid w:val="5B942EAB"/>
    <w:rsid w:val="5BFB1656"/>
    <w:rsid w:val="5C805C3A"/>
    <w:rsid w:val="5CED210B"/>
    <w:rsid w:val="5DD33159"/>
    <w:rsid w:val="5E401EE1"/>
    <w:rsid w:val="5E862024"/>
    <w:rsid w:val="5FE54AEF"/>
    <w:rsid w:val="5FE62E42"/>
    <w:rsid w:val="604F0C94"/>
    <w:rsid w:val="60811390"/>
    <w:rsid w:val="60E905BC"/>
    <w:rsid w:val="611C486A"/>
    <w:rsid w:val="612C3317"/>
    <w:rsid w:val="613320B7"/>
    <w:rsid w:val="64596BA4"/>
    <w:rsid w:val="64B4350F"/>
    <w:rsid w:val="64C17C5F"/>
    <w:rsid w:val="64E32222"/>
    <w:rsid w:val="660C0310"/>
    <w:rsid w:val="674A54CB"/>
    <w:rsid w:val="68187662"/>
    <w:rsid w:val="68740EAF"/>
    <w:rsid w:val="691A37DC"/>
    <w:rsid w:val="695F7E2D"/>
    <w:rsid w:val="6A443604"/>
    <w:rsid w:val="6AA22005"/>
    <w:rsid w:val="6ACC2E0B"/>
    <w:rsid w:val="6B6B37C9"/>
    <w:rsid w:val="6B9F656F"/>
    <w:rsid w:val="6DA528C6"/>
    <w:rsid w:val="6DAF0580"/>
    <w:rsid w:val="6DD02520"/>
    <w:rsid w:val="6DE17F47"/>
    <w:rsid w:val="6E1128F7"/>
    <w:rsid w:val="6E6B7F83"/>
    <w:rsid w:val="6EE2110B"/>
    <w:rsid w:val="70411D13"/>
    <w:rsid w:val="70DD756D"/>
    <w:rsid w:val="718B602C"/>
    <w:rsid w:val="721362FC"/>
    <w:rsid w:val="7222612A"/>
    <w:rsid w:val="727D45B0"/>
    <w:rsid w:val="727F5D14"/>
    <w:rsid w:val="74143D3D"/>
    <w:rsid w:val="7571756C"/>
    <w:rsid w:val="76102BC1"/>
    <w:rsid w:val="76337044"/>
    <w:rsid w:val="768D73E4"/>
    <w:rsid w:val="778B45A3"/>
    <w:rsid w:val="77AC443F"/>
    <w:rsid w:val="786749F3"/>
    <w:rsid w:val="78F607B2"/>
    <w:rsid w:val="79924211"/>
    <w:rsid w:val="79A15AC2"/>
    <w:rsid w:val="79BD77DF"/>
    <w:rsid w:val="79D91008"/>
    <w:rsid w:val="7BC65611"/>
    <w:rsid w:val="7C2C76E7"/>
    <w:rsid w:val="7DAB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43"/>
    <w:qFormat/>
    <w:uiPriority w:val="1"/>
    <w:pPr>
      <w:widowControl w:val="0"/>
      <w:kinsoku/>
      <w:autoSpaceDE/>
      <w:autoSpaceDN/>
      <w:adjustRightInd/>
      <w:snapToGrid/>
      <w:ind w:left="1197" w:right="1454"/>
      <w:jc w:val="center"/>
      <w:textAlignment w:val="auto"/>
      <w:outlineLvl w:val="0"/>
    </w:pPr>
    <w:rPr>
      <w:rFonts w:ascii="Microsoft JhengHei" w:hAnsi="Microsoft JhengHei" w:eastAsia="Microsoft JhengHei" w:cs="Microsoft JhengHei"/>
      <w:b/>
      <w:bCs/>
      <w:snapToGrid/>
      <w:color w:val="auto"/>
      <w:kern w:val="2"/>
      <w:sz w:val="32"/>
      <w:szCs w:val="32"/>
      <w:lang w:val="zh-CN" w:eastAsia="zh-CN" w:bidi="zh-CN"/>
    </w:rPr>
  </w:style>
  <w:style w:type="paragraph" w:styleId="3">
    <w:name w:val="heading 2"/>
    <w:basedOn w:val="1"/>
    <w:next w:val="1"/>
    <w:link w:val="44"/>
    <w:qFormat/>
    <w:uiPriority w:val="0"/>
    <w:pPr>
      <w:keepNext/>
      <w:keepLines/>
      <w:widowControl w:val="0"/>
      <w:kinsoku/>
      <w:autoSpaceDE/>
      <w:autoSpaceDN/>
      <w:adjustRightInd/>
      <w:snapToGrid/>
      <w:spacing w:before="260" w:after="260" w:line="413" w:lineRule="auto"/>
      <w:jc w:val="both"/>
      <w:textAlignment w:val="auto"/>
      <w:outlineLvl w:val="1"/>
    </w:pPr>
    <w:rPr>
      <w:rFonts w:eastAsia="黑体" w:cs="Times New Roman"/>
      <w:b/>
      <w:snapToGrid/>
      <w:color w:val="auto"/>
      <w:kern w:val="2"/>
      <w:sz w:val="32"/>
      <w:szCs w:val="20"/>
      <w:lang w:eastAsia="zh-CN"/>
    </w:rPr>
  </w:style>
  <w:style w:type="paragraph" w:styleId="4">
    <w:name w:val="heading 3"/>
    <w:basedOn w:val="1"/>
    <w:next w:val="1"/>
    <w:link w:val="45"/>
    <w:qFormat/>
    <w:uiPriority w:val="0"/>
    <w:pPr>
      <w:keepNext/>
      <w:keepLines/>
      <w:widowControl w:val="0"/>
      <w:kinsoku/>
      <w:autoSpaceDE/>
      <w:autoSpaceDN/>
      <w:adjustRightInd/>
      <w:snapToGrid/>
      <w:spacing w:line="416" w:lineRule="auto"/>
      <w:jc w:val="both"/>
      <w:textAlignment w:val="auto"/>
      <w:outlineLvl w:val="2"/>
    </w:pPr>
    <w:rPr>
      <w:rFonts w:ascii="Calibri" w:hAnsi="Calibri" w:eastAsia="宋体" w:cs="Times New Roman"/>
      <w:b/>
      <w:bCs/>
      <w:snapToGrid/>
      <w:color w:val="auto"/>
      <w:kern w:val="2"/>
      <w:sz w:val="24"/>
      <w:szCs w:val="32"/>
      <w:lang w:eastAsia="zh-CN"/>
    </w:rPr>
  </w:style>
  <w:style w:type="paragraph" w:styleId="5">
    <w:name w:val="heading 4"/>
    <w:basedOn w:val="1"/>
    <w:next w:val="1"/>
    <w:link w:val="46"/>
    <w:qFormat/>
    <w:uiPriority w:val="0"/>
    <w:pPr>
      <w:keepNext/>
      <w:keepLines/>
      <w:widowControl w:val="0"/>
      <w:kinsoku/>
      <w:autoSpaceDE/>
      <w:autoSpaceDN/>
      <w:adjustRightInd/>
      <w:snapToGrid/>
      <w:spacing w:line="376" w:lineRule="auto"/>
      <w:jc w:val="both"/>
      <w:textAlignment w:val="auto"/>
      <w:outlineLvl w:val="3"/>
    </w:pPr>
    <w:rPr>
      <w:rFonts w:ascii="Cambria" w:hAnsi="Cambria" w:eastAsia="宋体" w:cs="Times New Roman"/>
      <w:b/>
      <w:bCs/>
      <w:snapToGrid/>
      <w:color w:val="auto"/>
      <w:kern w:val="2"/>
      <w:sz w:val="24"/>
      <w:szCs w:val="28"/>
      <w:lang w:eastAsia="zh-CN"/>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widowControl w:val="0"/>
      <w:kinsoku/>
      <w:autoSpaceDE/>
      <w:autoSpaceDN/>
      <w:adjustRightInd/>
      <w:snapToGrid/>
      <w:ind w:left="420" w:leftChars="200"/>
      <w:jc w:val="both"/>
      <w:textAlignment w:val="auto"/>
    </w:pPr>
    <w:rPr>
      <w:rFonts w:ascii="Calibri" w:hAnsi="Calibri" w:eastAsia="宋体" w:cs="Times New Roman"/>
      <w:snapToGrid/>
      <w:color w:val="auto"/>
      <w:kern w:val="2"/>
      <w:szCs w:val="22"/>
      <w:lang w:eastAsia="zh-CN"/>
    </w:rPr>
  </w:style>
  <w:style w:type="paragraph" w:styleId="7">
    <w:name w:val="Normal Indent"/>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2"/>
      <w:lang w:eastAsia="zh-CN"/>
    </w:rPr>
  </w:style>
  <w:style w:type="paragraph" w:styleId="8">
    <w:name w:val="annotation text"/>
    <w:basedOn w:val="1"/>
    <w:link w:val="67"/>
    <w:qFormat/>
    <w:uiPriority w:val="0"/>
  </w:style>
  <w:style w:type="paragraph" w:styleId="9">
    <w:name w:val="Body Text"/>
    <w:basedOn w:val="1"/>
    <w:next w:val="10"/>
    <w:link w:val="40"/>
    <w:qFormat/>
    <w:uiPriority w:val="0"/>
    <w:rPr>
      <w:rFonts w:ascii="宋体" w:hAnsi="宋体" w:eastAsia="宋体" w:cs="宋体"/>
      <w:sz w:val="31"/>
      <w:szCs w:val="31"/>
    </w:rPr>
  </w:style>
  <w:style w:type="paragraph" w:customStyle="1" w:styleId="10">
    <w:name w:val="Default"/>
    <w:next w:val="1"/>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11">
    <w:name w:val="Body Text Indent"/>
    <w:basedOn w:val="1"/>
    <w:next w:val="1"/>
    <w:qFormat/>
    <w:uiPriority w:val="0"/>
    <w:pPr>
      <w:tabs>
        <w:tab w:val="left" w:pos="0"/>
      </w:tabs>
      <w:ind w:firstLine="538" w:firstLineChars="192"/>
    </w:pPr>
    <w:rPr>
      <w:rFonts w:ascii="Tahoma" w:hAnsi="Tahoma"/>
      <w:kern w:val="2"/>
      <w:sz w:val="28"/>
      <w:szCs w:val="24"/>
    </w:rPr>
  </w:style>
  <w:style w:type="paragraph" w:styleId="12">
    <w:name w:val="Plain Text"/>
    <w:basedOn w:val="1"/>
    <w:link w:val="47"/>
    <w:qFormat/>
    <w:uiPriority w:val="0"/>
    <w:pPr>
      <w:widowControl w:val="0"/>
      <w:kinsoku/>
      <w:autoSpaceDE/>
      <w:autoSpaceDN/>
      <w:adjustRightInd/>
      <w:snapToGrid/>
      <w:jc w:val="both"/>
      <w:textAlignment w:val="auto"/>
    </w:pPr>
    <w:rPr>
      <w:rFonts w:ascii="宋体" w:hAnsi="Calibri" w:eastAsia="宋体" w:cs="Times New Roman"/>
      <w:snapToGrid/>
      <w:color w:val="auto"/>
      <w:kern w:val="2"/>
      <w:lang w:eastAsia="zh-CN"/>
    </w:rPr>
  </w:style>
  <w:style w:type="paragraph" w:styleId="13">
    <w:name w:val="Body Text Indent 2"/>
    <w:basedOn w:val="1"/>
    <w:link w:val="48"/>
    <w:qFormat/>
    <w:uiPriority w:val="0"/>
    <w:pPr>
      <w:widowControl w:val="0"/>
      <w:kinsoku/>
      <w:autoSpaceDE/>
      <w:autoSpaceDN/>
      <w:adjustRightInd/>
      <w:snapToGrid/>
      <w:ind w:firstLine="630"/>
      <w:jc w:val="both"/>
      <w:textAlignment w:val="auto"/>
    </w:pPr>
    <w:rPr>
      <w:rFonts w:ascii="Ari" w:hAnsi="Calibri" w:eastAsia="宋体" w:cs="Times New Roman"/>
      <w:snapToGrid/>
      <w:color w:val="auto"/>
      <w:kern w:val="2"/>
      <w:sz w:val="32"/>
      <w:szCs w:val="20"/>
      <w:lang w:eastAsia="zh-CN"/>
    </w:rPr>
  </w:style>
  <w:style w:type="paragraph" w:styleId="14">
    <w:name w:val="Balloon Text"/>
    <w:basedOn w:val="1"/>
    <w:link w:val="49"/>
    <w:qFormat/>
    <w:uiPriority w:val="0"/>
    <w:pPr>
      <w:widowControl w:val="0"/>
      <w:kinsoku/>
      <w:autoSpaceDE/>
      <w:autoSpaceDN/>
      <w:adjustRightInd/>
      <w:snapToGrid/>
      <w:jc w:val="both"/>
      <w:textAlignment w:val="auto"/>
    </w:pPr>
    <w:rPr>
      <w:rFonts w:ascii="Calibri" w:hAnsi="Calibri" w:eastAsia="宋体" w:cs="Times New Roman"/>
      <w:snapToGrid/>
      <w:color w:val="auto"/>
      <w:kern w:val="2"/>
      <w:sz w:val="18"/>
      <w:szCs w:val="18"/>
      <w:lang w:eastAsia="zh-CN"/>
    </w:rPr>
  </w:style>
  <w:style w:type="paragraph" w:styleId="15">
    <w:name w:val="footer"/>
    <w:basedOn w:val="1"/>
    <w:link w:val="65"/>
    <w:qFormat/>
    <w:uiPriority w:val="99"/>
    <w:pPr>
      <w:tabs>
        <w:tab w:val="center" w:pos="4153"/>
        <w:tab w:val="right" w:pos="8306"/>
      </w:tabs>
      <w:jc w:val="center"/>
    </w:pPr>
    <w:rPr>
      <w:rFonts w:ascii="Tahoma" w:hAnsi="Tahoma"/>
      <w:kern w:val="2"/>
      <w:sz w:val="18"/>
      <w:szCs w:val="18"/>
    </w:rPr>
  </w:style>
  <w:style w:type="paragraph" w:styleId="16">
    <w:name w:val="header"/>
    <w:basedOn w:val="1"/>
    <w:link w:val="66"/>
    <w:qFormat/>
    <w:uiPriority w:val="0"/>
    <w:pPr>
      <w:pBdr>
        <w:bottom w:val="single" w:color="auto" w:sz="6" w:space="1"/>
      </w:pBdr>
      <w:tabs>
        <w:tab w:val="center" w:pos="4153"/>
        <w:tab w:val="right" w:pos="8306"/>
      </w:tabs>
      <w:jc w:val="center"/>
    </w:pPr>
    <w:rPr>
      <w:rFonts w:ascii="Tahoma" w:hAnsi="Tahoma"/>
      <w:kern w:val="2"/>
      <w:sz w:val="18"/>
      <w:szCs w:val="18"/>
    </w:rPr>
  </w:style>
  <w:style w:type="paragraph" w:styleId="17">
    <w:name w:val="toc 1"/>
    <w:basedOn w:val="1"/>
    <w:next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styleId="18">
    <w:name w:val="Body Text 2"/>
    <w:basedOn w:val="1"/>
    <w:link w:val="42"/>
    <w:qFormat/>
    <w:uiPriority w:val="0"/>
    <w:pPr>
      <w:widowControl w:val="0"/>
      <w:kinsoku/>
      <w:autoSpaceDE/>
      <w:autoSpaceDN/>
      <w:adjustRightInd/>
      <w:snapToGrid/>
      <w:spacing w:after="120" w:line="480" w:lineRule="auto"/>
      <w:jc w:val="both"/>
      <w:textAlignment w:val="auto"/>
    </w:pPr>
    <w:rPr>
      <w:rFonts w:ascii="Calibri" w:hAnsi="Calibri" w:eastAsia="宋体" w:cs="Times New Roman"/>
      <w:snapToGrid/>
      <w:color w:val="auto"/>
      <w:kern w:val="2"/>
      <w:szCs w:val="22"/>
      <w:lang w:eastAsia="zh-CN"/>
    </w:rPr>
  </w:style>
  <w:style w:type="paragraph" w:styleId="19">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20">
    <w:name w:val="Normal (Web)"/>
    <w:basedOn w:val="1"/>
    <w:qFormat/>
    <w:uiPriority w:val="0"/>
    <w:pPr>
      <w:kinsoku/>
      <w:autoSpaceDE/>
      <w:autoSpaceDN/>
      <w:adjustRightInd/>
      <w:snapToGrid/>
      <w:spacing w:before="100" w:beforeAutospacing="1" w:after="100" w:afterAutospacing="1" w:line="320" w:lineRule="atLeast"/>
      <w:textAlignment w:val="auto"/>
    </w:pPr>
    <w:rPr>
      <w:rFonts w:ascii="宋体" w:hAnsi="宋体" w:eastAsia="宋体" w:cs="Times New Roman"/>
      <w:snapToGrid/>
      <w:color w:val="auto"/>
      <w:sz w:val="18"/>
      <w:szCs w:val="18"/>
      <w:lang w:eastAsia="zh-CN"/>
    </w:rPr>
  </w:style>
  <w:style w:type="paragraph" w:styleId="21">
    <w:name w:val="Body Text First Indent"/>
    <w:basedOn w:val="9"/>
    <w:link w:val="41"/>
    <w:qFormat/>
    <w:uiPriority w:val="0"/>
    <w:pPr>
      <w:spacing w:after="120"/>
      <w:ind w:firstLine="420" w:firstLineChars="100"/>
    </w:pPr>
    <w:rPr>
      <w:rFonts w:ascii="Arial" w:hAnsi="Arial" w:eastAsia="Arial" w:cs="Arial"/>
      <w:sz w:val="21"/>
      <w:szCs w:val="21"/>
    </w:rPr>
  </w:style>
  <w:style w:type="paragraph" w:styleId="22">
    <w:name w:val="Body Text First Indent 2"/>
    <w:basedOn w:val="11"/>
    <w:next w:val="1"/>
    <w:unhideWhenUsed/>
    <w:qFormat/>
    <w:uiPriority w:val="0"/>
    <w:pPr>
      <w:spacing w:after="120"/>
      <w:ind w:left="420" w:leftChars="200" w:firstLine="420" w:firstLineChars="200"/>
    </w:pPr>
    <w:rPr>
      <w:rFonts w:ascii="宋体" w:hAnsi="Courier New"/>
      <w:spacing w:val="-4"/>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FollowedHyperlink"/>
    <w:basedOn w:val="25"/>
    <w:qFormat/>
    <w:uiPriority w:val="0"/>
    <w:rPr>
      <w:color w:val="444444"/>
      <w:sz w:val="21"/>
      <w:szCs w:val="21"/>
      <w:u w:val="none"/>
    </w:rPr>
  </w:style>
  <w:style w:type="character" w:styleId="28">
    <w:name w:val="HTML Definition"/>
    <w:basedOn w:val="25"/>
    <w:qFormat/>
    <w:uiPriority w:val="0"/>
  </w:style>
  <w:style w:type="character" w:styleId="29">
    <w:name w:val="HTML Typewriter"/>
    <w:basedOn w:val="25"/>
    <w:qFormat/>
    <w:uiPriority w:val="0"/>
    <w:rPr>
      <w:rFonts w:hint="default" w:ascii="monospace" w:hAnsi="monospace" w:eastAsia="monospace" w:cs="monospace"/>
      <w:sz w:val="20"/>
    </w:rPr>
  </w:style>
  <w:style w:type="character" w:styleId="30">
    <w:name w:val="HTML Acronym"/>
    <w:basedOn w:val="25"/>
    <w:qFormat/>
    <w:uiPriority w:val="0"/>
  </w:style>
  <w:style w:type="character" w:styleId="31">
    <w:name w:val="HTML Variable"/>
    <w:basedOn w:val="25"/>
    <w:qFormat/>
    <w:uiPriority w:val="0"/>
  </w:style>
  <w:style w:type="character" w:styleId="32">
    <w:name w:val="Hyperlink"/>
    <w:basedOn w:val="25"/>
    <w:qFormat/>
    <w:uiPriority w:val="0"/>
    <w:rPr>
      <w:color w:val="444444"/>
      <w:sz w:val="21"/>
      <w:szCs w:val="21"/>
      <w:u w:val="none"/>
    </w:rPr>
  </w:style>
  <w:style w:type="character" w:styleId="33">
    <w:name w:val="HTML Code"/>
    <w:basedOn w:val="25"/>
    <w:qFormat/>
    <w:uiPriority w:val="0"/>
    <w:rPr>
      <w:rFonts w:hint="default" w:ascii="monospace" w:hAnsi="monospace" w:eastAsia="monospace" w:cs="monospace"/>
      <w:sz w:val="20"/>
    </w:rPr>
  </w:style>
  <w:style w:type="character" w:styleId="34">
    <w:name w:val="HTML Cite"/>
    <w:basedOn w:val="25"/>
    <w:qFormat/>
    <w:uiPriority w:val="0"/>
  </w:style>
  <w:style w:type="character" w:styleId="35">
    <w:name w:val="HTML Keyboard"/>
    <w:basedOn w:val="25"/>
    <w:qFormat/>
    <w:uiPriority w:val="0"/>
    <w:rPr>
      <w:rFonts w:ascii="monospace" w:hAnsi="monospace" w:eastAsia="monospace" w:cs="monospace"/>
      <w:sz w:val="20"/>
    </w:rPr>
  </w:style>
  <w:style w:type="character" w:styleId="36">
    <w:name w:val="HTML Sample"/>
    <w:basedOn w:val="25"/>
    <w:qFormat/>
    <w:uiPriority w:val="0"/>
    <w:rPr>
      <w:rFonts w:hint="default" w:ascii="monospace" w:hAnsi="monospace" w:eastAsia="monospace" w:cs="monospace"/>
    </w:rPr>
  </w:style>
  <w:style w:type="paragraph" w:customStyle="1" w:styleId="37">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customStyle="1" w:styleId="39">
    <w:name w:val="Table Text"/>
    <w:basedOn w:val="1"/>
    <w:semiHidden/>
    <w:qFormat/>
    <w:uiPriority w:val="0"/>
  </w:style>
  <w:style w:type="character" w:customStyle="1" w:styleId="40">
    <w:name w:val="正文文本 字符"/>
    <w:basedOn w:val="25"/>
    <w:link w:val="9"/>
    <w:qFormat/>
    <w:uiPriority w:val="0"/>
    <w:rPr>
      <w:rFonts w:ascii="宋体" w:hAnsi="宋体" w:cs="宋体"/>
      <w:snapToGrid w:val="0"/>
      <w:color w:val="000000"/>
      <w:sz w:val="31"/>
      <w:szCs w:val="31"/>
      <w:lang w:eastAsia="en-US"/>
    </w:rPr>
  </w:style>
  <w:style w:type="character" w:customStyle="1" w:styleId="41">
    <w:name w:val="正文文本首行缩进 字符"/>
    <w:basedOn w:val="40"/>
    <w:link w:val="21"/>
    <w:qFormat/>
    <w:uiPriority w:val="0"/>
    <w:rPr>
      <w:rFonts w:ascii="Arial" w:hAnsi="Arial" w:eastAsia="Arial" w:cs="Arial"/>
      <w:snapToGrid w:val="0"/>
      <w:color w:val="000000"/>
      <w:sz w:val="21"/>
      <w:szCs w:val="21"/>
      <w:lang w:eastAsia="en-US"/>
    </w:rPr>
  </w:style>
  <w:style w:type="character" w:customStyle="1" w:styleId="42">
    <w:name w:val="正文文本 2 字符"/>
    <w:basedOn w:val="25"/>
    <w:link w:val="18"/>
    <w:qFormat/>
    <w:uiPriority w:val="0"/>
    <w:rPr>
      <w:rFonts w:ascii="Calibri" w:hAnsi="Calibri"/>
      <w:kern w:val="2"/>
      <w:sz w:val="21"/>
      <w:szCs w:val="22"/>
    </w:rPr>
  </w:style>
  <w:style w:type="character" w:customStyle="1" w:styleId="43">
    <w:name w:val="标题 1 字符"/>
    <w:basedOn w:val="25"/>
    <w:link w:val="2"/>
    <w:qFormat/>
    <w:uiPriority w:val="1"/>
    <w:rPr>
      <w:rFonts w:ascii="Microsoft JhengHei" w:hAnsi="Microsoft JhengHei" w:eastAsia="Microsoft JhengHei" w:cs="Microsoft JhengHei"/>
      <w:b/>
      <w:bCs/>
      <w:kern w:val="2"/>
      <w:sz w:val="32"/>
      <w:szCs w:val="32"/>
      <w:lang w:val="zh-CN" w:bidi="zh-CN"/>
    </w:rPr>
  </w:style>
  <w:style w:type="character" w:customStyle="1" w:styleId="44">
    <w:name w:val="标题 2 字符"/>
    <w:basedOn w:val="25"/>
    <w:link w:val="3"/>
    <w:qFormat/>
    <w:uiPriority w:val="0"/>
    <w:rPr>
      <w:rFonts w:ascii="Arial" w:hAnsi="Arial" w:eastAsia="黑体"/>
      <w:b/>
      <w:kern w:val="2"/>
      <w:sz w:val="32"/>
    </w:rPr>
  </w:style>
  <w:style w:type="character" w:customStyle="1" w:styleId="45">
    <w:name w:val="标题 3 字符"/>
    <w:basedOn w:val="25"/>
    <w:link w:val="4"/>
    <w:qFormat/>
    <w:uiPriority w:val="0"/>
    <w:rPr>
      <w:rFonts w:ascii="Calibri" w:hAnsi="Calibri"/>
      <w:b/>
      <w:bCs/>
      <w:kern w:val="2"/>
      <w:sz w:val="24"/>
      <w:szCs w:val="32"/>
    </w:rPr>
  </w:style>
  <w:style w:type="character" w:customStyle="1" w:styleId="46">
    <w:name w:val="标题 4 字符"/>
    <w:basedOn w:val="25"/>
    <w:link w:val="5"/>
    <w:qFormat/>
    <w:uiPriority w:val="0"/>
    <w:rPr>
      <w:rFonts w:ascii="Cambria" w:hAnsi="Cambria"/>
      <w:b/>
      <w:bCs/>
      <w:kern w:val="2"/>
      <w:sz w:val="24"/>
      <w:szCs w:val="28"/>
    </w:rPr>
  </w:style>
  <w:style w:type="character" w:customStyle="1" w:styleId="47">
    <w:name w:val="纯文本 字符"/>
    <w:basedOn w:val="25"/>
    <w:link w:val="12"/>
    <w:qFormat/>
    <w:uiPriority w:val="0"/>
    <w:rPr>
      <w:rFonts w:ascii="宋体" w:hAnsi="Calibri"/>
      <w:kern w:val="2"/>
      <w:sz w:val="21"/>
      <w:szCs w:val="21"/>
    </w:rPr>
  </w:style>
  <w:style w:type="character" w:customStyle="1" w:styleId="48">
    <w:name w:val="正文文本缩进 2 字符"/>
    <w:basedOn w:val="25"/>
    <w:link w:val="13"/>
    <w:qFormat/>
    <w:uiPriority w:val="0"/>
    <w:rPr>
      <w:rFonts w:ascii="Ari" w:hAnsi="Calibri"/>
      <w:kern w:val="2"/>
      <w:sz w:val="32"/>
    </w:rPr>
  </w:style>
  <w:style w:type="character" w:customStyle="1" w:styleId="49">
    <w:name w:val="批注框文本 字符"/>
    <w:basedOn w:val="25"/>
    <w:link w:val="14"/>
    <w:qFormat/>
    <w:uiPriority w:val="0"/>
    <w:rPr>
      <w:rFonts w:ascii="Calibri" w:hAnsi="Calibri"/>
      <w:kern w:val="2"/>
      <w:sz w:val="18"/>
      <w:szCs w:val="18"/>
    </w:rPr>
  </w:style>
  <w:style w:type="paragraph" w:customStyle="1" w:styleId="50">
    <w:name w:val="表格文字"/>
    <w:basedOn w:val="1"/>
    <w:next w:val="9"/>
    <w:qFormat/>
    <w:uiPriority w:val="0"/>
    <w:pPr>
      <w:widowControl w:val="0"/>
      <w:kinsoku/>
      <w:autoSpaceDE/>
      <w:autoSpaceDN/>
      <w:snapToGrid/>
      <w:spacing w:line="420" w:lineRule="atLeast"/>
      <w:jc w:val="both"/>
    </w:pPr>
    <w:rPr>
      <w:rFonts w:ascii="Calibri" w:hAnsi="Calibri" w:eastAsia="宋体" w:cs="Times New Roman"/>
      <w:snapToGrid/>
      <w:color w:val="auto"/>
      <w:szCs w:val="22"/>
      <w:lang w:eastAsia="zh-CN"/>
    </w:rPr>
  </w:style>
  <w:style w:type="paragraph" w:customStyle="1" w:styleId="51">
    <w:name w:val="列出段落1"/>
    <w:basedOn w:val="1"/>
    <w:qFormat/>
    <w:uiPriority w:val="99"/>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character" w:customStyle="1" w:styleId="52">
    <w:name w:val="font151"/>
    <w:basedOn w:val="25"/>
    <w:qFormat/>
    <w:uiPriority w:val="0"/>
    <w:rPr>
      <w:rFonts w:hint="eastAsia" w:ascii="宋体" w:hAnsi="宋体" w:eastAsia="宋体" w:cs="宋体"/>
      <w:color w:val="000000"/>
      <w:sz w:val="24"/>
      <w:szCs w:val="24"/>
      <w:u w:val="none"/>
    </w:rPr>
  </w:style>
  <w:style w:type="character" w:customStyle="1" w:styleId="53">
    <w:name w:val="font131"/>
    <w:basedOn w:val="25"/>
    <w:qFormat/>
    <w:uiPriority w:val="0"/>
    <w:rPr>
      <w:rFonts w:hint="eastAsia" w:ascii="楷体" w:hAnsi="楷体" w:eastAsia="楷体" w:cs="楷体"/>
      <w:color w:val="000000"/>
      <w:sz w:val="24"/>
      <w:szCs w:val="24"/>
      <w:u w:val="none"/>
    </w:rPr>
  </w:style>
  <w:style w:type="character" w:customStyle="1" w:styleId="54">
    <w:name w:val="font161"/>
    <w:basedOn w:val="25"/>
    <w:qFormat/>
    <w:uiPriority w:val="0"/>
    <w:rPr>
      <w:rFonts w:hint="eastAsia" w:ascii="楷体" w:hAnsi="楷体" w:eastAsia="楷体" w:cs="楷体"/>
      <w:color w:val="000000"/>
      <w:sz w:val="24"/>
      <w:szCs w:val="24"/>
      <w:u w:val="none"/>
    </w:rPr>
  </w:style>
  <w:style w:type="paragraph" w:customStyle="1" w:styleId="55">
    <w:name w:val="TOC 标题1"/>
    <w:basedOn w:val="2"/>
    <w:next w:val="1"/>
    <w:qFormat/>
    <w:uiPriority w:val="0"/>
    <w:pPr>
      <w:spacing w:before="480" w:line="276" w:lineRule="auto"/>
      <w:outlineLvl w:val="9"/>
    </w:pPr>
    <w:rPr>
      <w:rFonts w:ascii="仿宋" w:hAnsi="仿宋" w:eastAsia="仿宋" w:cs="Times New Roman"/>
      <w:color w:val="000000"/>
      <w:kern w:val="0"/>
    </w:rPr>
  </w:style>
  <w:style w:type="character" w:customStyle="1" w:styleId="56">
    <w:name w:val="hover15"/>
    <w:basedOn w:val="25"/>
    <w:qFormat/>
    <w:uiPriority w:val="0"/>
  </w:style>
  <w:style w:type="paragraph" w:customStyle="1" w:styleId="57">
    <w:name w:val="WPSOffice手动目录 1"/>
    <w:qFormat/>
    <w:uiPriority w:val="0"/>
    <w:rPr>
      <w:rFonts w:ascii="Times New Roman" w:hAnsi="Times New Roman" w:eastAsia="宋体" w:cs="Times New Roman"/>
      <w:lang w:val="en-US" w:eastAsia="zh-CN" w:bidi="ar-SA"/>
    </w:rPr>
  </w:style>
  <w:style w:type="paragraph" w:customStyle="1" w:styleId="58">
    <w:name w:val="无间隔1"/>
    <w:basedOn w:val="1"/>
    <w:qFormat/>
    <w:uiPriority w:val="0"/>
    <w:pPr>
      <w:widowControl w:val="0"/>
      <w:kinsoku/>
      <w:autoSpaceDE/>
      <w:autoSpaceDN/>
      <w:adjustRightInd/>
      <w:snapToGrid/>
      <w:spacing w:line="400" w:lineRule="exact"/>
      <w:jc w:val="both"/>
      <w:textAlignment w:val="auto"/>
    </w:pPr>
    <w:rPr>
      <w:rFonts w:ascii="Times New Roman" w:hAnsi="Times New Roman" w:eastAsia="宋体" w:cs="Times New Roman"/>
      <w:snapToGrid/>
      <w:kern w:val="2"/>
      <w:sz w:val="24"/>
      <w:szCs w:val="28"/>
      <w:lang w:eastAsia="zh-CN"/>
    </w:rPr>
  </w:style>
  <w:style w:type="paragraph" w:styleId="59">
    <w:name w:val="List Paragraph"/>
    <w:basedOn w:val="1"/>
    <w:qFormat/>
    <w:uiPriority w:val="1"/>
    <w:pPr>
      <w:widowControl w:val="0"/>
      <w:kinsoku/>
      <w:autoSpaceDE/>
      <w:autoSpaceDN/>
      <w:adjustRightInd/>
      <w:snapToGrid/>
      <w:ind w:left="1077" w:hanging="421"/>
      <w:jc w:val="both"/>
      <w:textAlignment w:val="auto"/>
    </w:pPr>
    <w:rPr>
      <w:rFonts w:ascii="宋体" w:hAnsi="宋体" w:eastAsia="宋体" w:cs="宋体"/>
      <w:snapToGrid/>
      <w:color w:val="auto"/>
      <w:kern w:val="2"/>
      <w:szCs w:val="22"/>
      <w:lang w:val="zh-CN" w:eastAsia="zh-CN" w:bidi="zh-CN"/>
    </w:rPr>
  </w:style>
  <w:style w:type="paragraph" w:customStyle="1" w:styleId="60">
    <w:name w:val="Table Paragraph"/>
    <w:basedOn w:val="1"/>
    <w:qFormat/>
    <w:uiPriority w:val="1"/>
    <w:pPr>
      <w:widowControl w:val="0"/>
      <w:kinsoku/>
      <w:autoSpaceDE/>
      <w:autoSpaceDN/>
      <w:adjustRightInd/>
      <w:snapToGrid/>
      <w:jc w:val="both"/>
      <w:textAlignment w:val="auto"/>
    </w:pPr>
    <w:rPr>
      <w:rFonts w:ascii="Calibri" w:hAnsi="Calibri" w:eastAsia="宋体" w:cs="Times New Roman"/>
      <w:snapToGrid/>
      <w:color w:val="auto"/>
      <w:kern w:val="2"/>
      <w:szCs w:val="22"/>
      <w:lang w:eastAsia="zh-CN"/>
    </w:rPr>
  </w:style>
  <w:style w:type="paragraph" w:customStyle="1" w:styleId="61">
    <w:name w:val="文档正文"/>
    <w:basedOn w:val="1"/>
    <w:qFormat/>
    <w:uiPriority w:val="0"/>
    <w:pPr>
      <w:widowControl w:val="0"/>
      <w:kinsoku/>
      <w:autoSpaceDE/>
      <w:autoSpaceDN/>
      <w:snapToGrid/>
      <w:spacing w:line="480" w:lineRule="atLeast"/>
      <w:ind w:firstLine="567"/>
      <w:jc w:val="both"/>
    </w:pPr>
    <w:rPr>
      <w:rFonts w:ascii="仿宋_GB2312" w:hAnsi="Calibri" w:eastAsia="仿宋_GB2312" w:cs="Times New Roman"/>
      <w:snapToGrid/>
      <w:color w:val="auto"/>
      <w:sz w:val="28"/>
      <w:szCs w:val="20"/>
      <w:lang w:eastAsia="zh-CN"/>
    </w:rPr>
  </w:style>
  <w:style w:type="paragraph" w:customStyle="1" w:styleId="62">
    <w:name w:val="正文_5_0"/>
    <w:qFormat/>
    <w:uiPriority w:val="0"/>
    <w:pPr>
      <w:widowControl w:val="0"/>
      <w:jc w:val="both"/>
    </w:pPr>
    <w:rPr>
      <w:rFonts w:ascii="Calibri" w:hAnsi="Calibri" w:eastAsia="宋体" w:cs="Times New Roman"/>
      <w:kern w:val="2"/>
      <w:sz w:val="21"/>
      <w:szCs w:val="24"/>
      <w:lang w:val="en-US" w:eastAsia="zh-CN" w:bidi="ar-SA"/>
    </w:rPr>
  </w:style>
  <w:style w:type="character" w:customStyle="1" w:styleId="63">
    <w:name w:val="font101"/>
    <w:basedOn w:val="25"/>
    <w:qFormat/>
    <w:uiPriority w:val="0"/>
    <w:rPr>
      <w:rFonts w:hint="default" w:ascii="等线" w:hAnsi="等线" w:eastAsia="等线" w:cs="等线"/>
      <w:color w:val="000000"/>
      <w:sz w:val="20"/>
      <w:szCs w:val="20"/>
      <w:u w:val="none"/>
    </w:rPr>
  </w:style>
  <w:style w:type="character" w:customStyle="1" w:styleId="64">
    <w:name w:val="font01"/>
    <w:basedOn w:val="25"/>
    <w:qFormat/>
    <w:uiPriority w:val="0"/>
    <w:rPr>
      <w:rFonts w:hint="default" w:ascii="等线" w:hAnsi="等线" w:eastAsia="等线" w:cs="等线"/>
      <w:color w:val="FF0000"/>
      <w:sz w:val="20"/>
      <w:szCs w:val="20"/>
      <w:u w:val="none"/>
    </w:rPr>
  </w:style>
  <w:style w:type="character" w:customStyle="1" w:styleId="65">
    <w:name w:val="页脚 字符"/>
    <w:basedOn w:val="25"/>
    <w:link w:val="15"/>
    <w:qFormat/>
    <w:uiPriority w:val="99"/>
    <w:rPr>
      <w:rFonts w:ascii="Tahoma" w:hAnsi="Tahoma" w:eastAsia="Arial" w:cs="Arial"/>
      <w:snapToGrid w:val="0"/>
      <w:color w:val="000000"/>
      <w:kern w:val="2"/>
      <w:sz w:val="18"/>
      <w:szCs w:val="18"/>
      <w:lang w:eastAsia="en-US"/>
    </w:rPr>
  </w:style>
  <w:style w:type="character" w:customStyle="1" w:styleId="66">
    <w:name w:val="页眉 字符"/>
    <w:basedOn w:val="25"/>
    <w:link w:val="16"/>
    <w:qFormat/>
    <w:uiPriority w:val="0"/>
    <w:rPr>
      <w:rFonts w:ascii="Tahoma" w:hAnsi="Tahoma" w:eastAsia="Arial" w:cs="Arial"/>
      <w:snapToGrid w:val="0"/>
      <w:color w:val="000000"/>
      <w:kern w:val="2"/>
      <w:sz w:val="18"/>
      <w:szCs w:val="18"/>
      <w:lang w:eastAsia="en-US"/>
    </w:rPr>
  </w:style>
  <w:style w:type="character" w:customStyle="1" w:styleId="67">
    <w:name w:val="批注文字 字符"/>
    <w:basedOn w:val="25"/>
    <w:link w:val="8"/>
    <w:qFormat/>
    <w:uiPriority w:val="0"/>
    <w:rPr>
      <w:rFonts w:ascii="Arial" w:hAnsi="Arial" w:eastAsia="Arial" w:cs="Arial"/>
      <w:snapToGrid w:val="0"/>
      <w:color w:val="000000"/>
      <w:sz w:val="21"/>
      <w:szCs w:val="21"/>
      <w:lang w:eastAsia="en-US"/>
    </w:rPr>
  </w:style>
  <w:style w:type="character" w:customStyle="1" w:styleId="68">
    <w:name w:val="first-child"/>
    <w:basedOn w:val="25"/>
    <w:qFormat/>
    <w:uiPriority w:val="0"/>
  </w:style>
  <w:style w:type="character" w:customStyle="1" w:styleId="69">
    <w:name w:val="first-child1"/>
    <w:basedOn w:val="25"/>
    <w:qFormat/>
    <w:uiPriority w:val="0"/>
  </w:style>
  <w:style w:type="character" w:customStyle="1" w:styleId="70">
    <w:name w:val="nth-child(n+2)"/>
    <w:basedOn w:val="25"/>
    <w:qFormat/>
    <w:uiPriority w:val="0"/>
  </w:style>
  <w:style w:type="character" w:customStyle="1" w:styleId="71">
    <w:name w:val="layui-layer-tabnow"/>
    <w:basedOn w:val="25"/>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26034</Words>
  <Characters>27877</Characters>
  <Lines>221</Lines>
  <Paragraphs>62</Paragraphs>
  <TotalTime>0</TotalTime>
  <ScaleCrop>false</ScaleCrop>
  <LinksUpToDate>false</LinksUpToDate>
  <CharactersWithSpaces>28768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happy杨</cp:lastModifiedBy>
  <dcterms:modified xsi:type="dcterms:W3CDTF">2024-08-19T12:52:44Z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2052-12.1.0.15990</vt:lpwstr>
  </property>
  <property fmtid="{D5CDD505-2E9C-101B-9397-08002B2CF9AE}" pid="5" name="ICV">
    <vt:lpwstr>8DC1B6AC3E51449489DD02ED1E885BF7_12</vt:lpwstr>
  </property>
</Properties>
</file>