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DDE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1"/>
          <w:szCs w:val="21"/>
        </w:rPr>
      </w:pPr>
      <w:bookmarkStart w:id="0" w:name="_Toc20582"/>
      <w:r>
        <w:rPr>
          <w:rFonts w:hint="eastAsia" w:ascii="宋体" w:hAnsi="宋体" w:cs="宋体"/>
          <w:b/>
          <w:color w:val="000000"/>
          <w:sz w:val="32"/>
          <w:szCs w:val="32"/>
          <w:highlight w:val="none"/>
          <w:lang w:eastAsia="zh-CN"/>
        </w:rPr>
        <w:t>采购需求</w:t>
      </w:r>
      <w:bookmarkEnd w:id="0"/>
    </w:p>
    <w:p w14:paraId="3CCE4A08">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1"/>
          <w:szCs w:val="21"/>
        </w:rPr>
      </w:pPr>
      <w:r>
        <w:rPr>
          <w:rFonts w:hint="eastAsia"/>
          <w:b/>
          <w:bCs/>
          <w:sz w:val="21"/>
          <w:szCs w:val="21"/>
        </w:rPr>
        <w:t>一、项目概况：</w:t>
      </w:r>
    </w:p>
    <w:p w14:paraId="71B8C9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本次</w:t>
      </w:r>
      <w:r>
        <w:rPr>
          <w:rFonts w:hint="eastAsia"/>
          <w:lang w:eastAsia="zh-CN"/>
        </w:rPr>
        <w:t>河南省第四监狱2026-2027年度罪犯配餐中心米面杂粮采购项目</w:t>
      </w:r>
      <w:r>
        <w:rPr>
          <w:rFonts w:hint="eastAsia"/>
        </w:rPr>
        <w:t>为河南省第四监狱罪犯配餐中心在本次项目采购合同履约期内</w:t>
      </w:r>
      <w:bookmarkStart w:id="1" w:name="_GoBack"/>
      <w:bookmarkEnd w:id="1"/>
      <w:r>
        <w:rPr>
          <w:rFonts w:hint="eastAsia"/>
        </w:rPr>
        <w:t>所需的</w:t>
      </w:r>
      <w:r>
        <w:rPr>
          <w:rFonts w:hint="eastAsia"/>
          <w:lang w:val="en-US" w:eastAsia="zh-CN"/>
        </w:rPr>
        <w:t>大米</w:t>
      </w:r>
      <w:r>
        <w:rPr>
          <w:rFonts w:hint="eastAsia"/>
        </w:rPr>
        <w:t>、</w:t>
      </w:r>
      <w:r>
        <w:rPr>
          <w:rFonts w:hint="eastAsia"/>
          <w:lang w:val="en-US" w:eastAsia="zh-CN"/>
        </w:rPr>
        <w:t>面粉</w:t>
      </w:r>
      <w:r>
        <w:rPr>
          <w:rFonts w:hint="eastAsia"/>
        </w:rPr>
        <w:t>、</w:t>
      </w:r>
      <w:r>
        <w:rPr>
          <w:rFonts w:hint="eastAsia"/>
          <w:lang w:val="en-US" w:eastAsia="zh-CN"/>
        </w:rPr>
        <w:t>杂粮</w:t>
      </w:r>
      <w:r>
        <w:rPr>
          <w:rFonts w:hint="eastAsia"/>
        </w:rPr>
        <w:t>等物资采购</w:t>
      </w:r>
      <w:r>
        <w:rPr>
          <w:rFonts w:hint="eastAsia"/>
          <w:lang w:val="en-US" w:eastAsia="zh-CN"/>
        </w:rPr>
        <w:t>及</w:t>
      </w:r>
      <w:r>
        <w:rPr>
          <w:rFonts w:hint="eastAsia"/>
        </w:rPr>
        <w:t>相关的伴随服务等</w:t>
      </w:r>
      <w:r>
        <w:rPr>
          <w:rFonts w:hint="eastAsia"/>
          <w:lang w:eastAsia="zh-CN"/>
        </w:rPr>
        <w:t>。</w:t>
      </w:r>
    </w:p>
    <w:p w14:paraId="56979D14">
      <w:pPr>
        <w:pStyle w:val="2"/>
        <w:rPr>
          <w:rFonts w:hint="eastAsia"/>
          <w:lang w:val="en-US" w:eastAsia="zh-CN"/>
        </w:rPr>
      </w:pPr>
      <w:r>
        <w:rPr>
          <w:rFonts w:hint="eastAsia"/>
          <w:b/>
          <w:bCs/>
          <w:lang w:val="en-US" w:eastAsia="zh-CN"/>
        </w:rPr>
        <w:t>二、</w:t>
      </w:r>
      <w:r>
        <w:rPr>
          <w:rFonts w:hint="eastAsia" w:ascii="宋体" w:hAnsi="宋体" w:eastAsia="宋体" w:cs="宋体"/>
          <w:b/>
          <w:bCs/>
          <w:color w:val="000000"/>
          <w:kern w:val="0"/>
          <w:sz w:val="21"/>
          <w:szCs w:val="21"/>
          <w:highlight w:val="none"/>
          <w:lang w:val="en-US" w:eastAsia="zh-CN" w:bidi="ar"/>
        </w:rPr>
        <w:t>商务要求</w:t>
      </w:r>
    </w:p>
    <w:p w14:paraId="68E8CF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1.交货期：按采购人要求时间段分批次送达。</w:t>
      </w:r>
    </w:p>
    <w:p w14:paraId="6B59F50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2.交货地点：采购人指定地点。</w:t>
      </w:r>
    </w:p>
    <w:p w14:paraId="12AB9DF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3.供货周期</w:t>
      </w:r>
      <w:r>
        <w:rPr>
          <w:rFonts w:hint="eastAsia" w:ascii="宋体" w:hAnsi="宋体" w:eastAsia="宋体" w:cs="宋体"/>
          <w:color w:val="auto"/>
          <w:sz w:val="21"/>
          <w:szCs w:val="21"/>
          <w:highlight w:val="none"/>
          <w:lang w:eastAsia="zh-CN"/>
        </w:rPr>
        <w:t>：合同签订后12个月（自合同生效日起）</w:t>
      </w:r>
      <w:r>
        <w:rPr>
          <w:rFonts w:hint="eastAsia" w:ascii="宋体" w:hAnsi="宋体" w:eastAsia="宋体" w:cs="宋体"/>
          <w:color w:val="auto"/>
          <w:sz w:val="21"/>
          <w:szCs w:val="21"/>
          <w:highlight w:val="none"/>
          <w:lang w:val="en-US" w:eastAsia="zh-CN"/>
        </w:rPr>
        <w:t>。</w:t>
      </w:r>
    </w:p>
    <w:p w14:paraId="4FA8BF1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4.质量标准：合格，符合国家及相关行业规定规范。</w:t>
      </w:r>
    </w:p>
    <w:p w14:paraId="324D5A6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Courier New" w:eastAsia="宋体" w:cs="Courier New"/>
          <w:color w:val="auto"/>
          <w:highlight w:val="none"/>
          <w:lang w:val="en-US" w:eastAsia="zh-CN"/>
        </w:rPr>
      </w:pPr>
      <w:r>
        <w:rPr>
          <w:rFonts w:hint="eastAsia" w:ascii="宋体" w:hAnsi="Courier New" w:eastAsia="宋体" w:cs="Courier New"/>
          <w:color w:val="auto"/>
          <w:kern w:val="2"/>
          <w:sz w:val="21"/>
          <w:szCs w:val="21"/>
          <w:lang w:val="en-US" w:eastAsia="zh-CN" w:bidi="ar-SA"/>
        </w:rPr>
        <w:t>5</w:t>
      </w:r>
      <w:r>
        <w:rPr>
          <w:rFonts w:hint="default" w:ascii="宋体" w:hAnsi="Courier New" w:eastAsia="宋体" w:cs="Courier New"/>
          <w:color w:val="auto"/>
          <w:kern w:val="2"/>
          <w:sz w:val="21"/>
          <w:szCs w:val="21"/>
          <w:lang w:val="en-US" w:eastAsia="zh-CN" w:bidi="ar-SA"/>
        </w:rPr>
        <w:t>.</w:t>
      </w:r>
      <w:r>
        <w:rPr>
          <w:rFonts w:hint="eastAsia" w:ascii="宋体" w:hAnsi="Courier New" w:eastAsia="宋体" w:cs="Courier New"/>
          <w:color w:val="auto"/>
          <w:highlight w:val="none"/>
          <w:lang w:val="en-US" w:eastAsia="zh-CN"/>
        </w:rPr>
        <w:t>付款方式：</w:t>
      </w:r>
      <w:r>
        <w:rPr>
          <w:rFonts w:hint="eastAsia" w:ascii="宋体" w:hAnsi="宋体" w:eastAsia="宋体" w:cs="宋体"/>
          <w:color w:val="auto"/>
          <w:sz w:val="21"/>
          <w:szCs w:val="21"/>
          <w:highlight w:val="none"/>
          <w:lang w:val="en-US" w:eastAsia="zh-CN"/>
        </w:rPr>
        <w:t>乙方供货的下月按照产品供应价对本月的实际供货量进行核算，并由双方核对确认。核算后，甲方依据乙方开具的月度实际应付款项的增值税普通/专用发票，在两个月内将月度结算款汇至乙方指定的账户中，但乙方理解并同意甲方每次支付相关款项前提为财政拨款已到位，且需按照甲方财务管理制度办理款项申请手续，如在约定期限内无法及时付款，付款期限顺延且乙方不得以此为由拒绝供货。</w:t>
      </w:r>
    </w:p>
    <w:p w14:paraId="748529E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eastAsia" w:cs="Courier New"/>
          <w:color w:val="auto"/>
          <w:kern w:val="2"/>
          <w:sz w:val="21"/>
          <w:szCs w:val="21"/>
          <w:lang w:val="en-US" w:eastAsia="zh-CN" w:bidi="ar-SA"/>
        </w:rPr>
        <w:t>6</w:t>
      </w:r>
      <w:r>
        <w:rPr>
          <w:rFonts w:hint="default" w:ascii="宋体" w:hAnsi="Courier New" w:eastAsia="宋体" w:cs="Courier New"/>
          <w:color w:val="auto"/>
          <w:kern w:val="2"/>
          <w:sz w:val="21"/>
          <w:szCs w:val="21"/>
          <w:lang w:val="en-US" w:eastAsia="zh-CN" w:bidi="ar-SA"/>
        </w:rPr>
        <w:t>.</w:t>
      </w:r>
      <w:r>
        <w:rPr>
          <w:rFonts w:hint="eastAsia"/>
          <w:color w:val="auto"/>
          <w:highlight w:val="none"/>
          <w:lang w:val="en-US" w:eastAsia="zh-CN"/>
        </w:rPr>
        <w:t>验收标准：</w:t>
      </w:r>
      <w:r>
        <w:rPr>
          <w:rFonts w:hint="eastAsia" w:ascii="宋体" w:hAnsi="宋体" w:eastAsia="宋体" w:cs="宋体"/>
          <w:color w:val="auto"/>
          <w:sz w:val="21"/>
          <w:szCs w:val="21"/>
          <w:highlight w:val="none"/>
          <w:lang w:val="en-US" w:eastAsia="zh-CN"/>
        </w:rPr>
        <w:t>符合国家质量合格标准并达到采购人要求。</w:t>
      </w:r>
    </w:p>
    <w:p w14:paraId="7386363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eastAsia" w:cs="Courier New"/>
          <w:color w:val="auto"/>
          <w:kern w:val="2"/>
          <w:sz w:val="21"/>
          <w:szCs w:val="21"/>
          <w:lang w:val="en-US" w:eastAsia="zh-CN" w:bidi="ar-SA"/>
        </w:rPr>
        <w:t>7</w:t>
      </w:r>
      <w:r>
        <w:rPr>
          <w:rFonts w:hint="default" w:ascii="宋体" w:hAnsi="Courier New" w:eastAsia="宋体" w:cs="Courier New"/>
          <w:color w:val="auto"/>
          <w:kern w:val="2"/>
          <w:sz w:val="21"/>
          <w:szCs w:val="21"/>
          <w:lang w:val="en-US" w:eastAsia="zh-CN" w:bidi="ar-SA"/>
        </w:rPr>
        <w:t>.</w:t>
      </w:r>
      <w:r>
        <w:rPr>
          <w:rFonts w:hint="eastAsia"/>
          <w:color w:val="auto"/>
          <w:highlight w:val="none"/>
          <w:lang w:val="en-US" w:eastAsia="zh-CN"/>
        </w:rPr>
        <w:t>供货过程中，如中标单位货物质量问题或因公司破产倒闭等原因未能履约，影响采购人正常使用，采购人将有权扣除中标单位的履约保证金。</w:t>
      </w:r>
      <w:r>
        <w:rPr>
          <w:rFonts w:hint="eastAsia" w:ascii="宋体" w:hAnsi="宋体" w:eastAsia="宋体" w:cs="宋体"/>
          <w:color w:val="auto"/>
          <w:sz w:val="21"/>
          <w:szCs w:val="21"/>
          <w:highlight w:val="none"/>
          <w:lang w:val="en-US" w:eastAsia="zh-CN"/>
        </w:rPr>
        <w:t>履约保证金金额不足以补偿甲方的，甲方有权利追偿不足金额部分。</w:t>
      </w:r>
    </w:p>
    <w:p w14:paraId="280AE3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kern w:val="0"/>
          <w:sz w:val="21"/>
          <w:szCs w:val="21"/>
          <w:highlight w:val="none"/>
          <w:lang w:eastAsia="zh-CN"/>
        </w:rPr>
      </w:pPr>
      <w:r>
        <w:rPr>
          <w:rFonts w:hint="eastAsia" w:ascii="宋体" w:hAnsi="宋体" w:eastAsia="宋体" w:cs="宋体"/>
          <w:b/>
          <w:kern w:val="0"/>
          <w:sz w:val="21"/>
          <w:szCs w:val="21"/>
          <w:highlight w:val="none"/>
          <w:lang w:val="en-US" w:eastAsia="zh-CN"/>
        </w:rPr>
        <w:t>三</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val="en-US" w:eastAsia="zh-CN"/>
        </w:rPr>
        <w:t>技术要求</w:t>
      </w:r>
    </w:p>
    <w:tbl>
      <w:tblPr>
        <w:tblStyle w:val="6"/>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70"/>
        <w:gridCol w:w="900"/>
        <w:gridCol w:w="1290"/>
        <w:gridCol w:w="1695"/>
        <w:gridCol w:w="1395"/>
        <w:gridCol w:w="960"/>
      </w:tblGrid>
      <w:tr w14:paraId="5EB8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21AD5CD7">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70" w:type="dxa"/>
            <w:noWrap w:val="0"/>
            <w:vAlign w:val="center"/>
          </w:tcPr>
          <w:p w14:paraId="3BB62AC7">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900" w:type="dxa"/>
            <w:noWrap w:val="0"/>
            <w:vAlign w:val="center"/>
          </w:tcPr>
          <w:p w14:paraId="50AC815F">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1290" w:type="dxa"/>
            <w:noWrap w:val="0"/>
            <w:vAlign w:val="center"/>
          </w:tcPr>
          <w:p w14:paraId="05002264">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规格</w:t>
            </w:r>
          </w:p>
        </w:tc>
        <w:tc>
          <w:tcPr>
            <w:tcW w:w="1695" w:type="dxa"/>
            <w:noWrap w:val="0"/>
            <w:vAlign w:val="center"/>
          </w:tcPr>
          <w:p w14:paraId="1B592A9A">
            <w:pPr>
              <w:snapToGrid w:val="0"/>
              <w:spacing w:line="5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1395" w:type="dxa"/>
            <w:noWrap w:val="0"/>
            <w:vAlign w:val="center"/>
          </w:tcPr>
          <w:p w14:paraId="4903CD2E">
            <w:pPr>
              <w:snapToGrid w:val="0"/>
              <w:spacing w:line="5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控制价</w:t>
            </w:r>
          </w:p>
        </w:tc>
        <w:tc>
          <w:tcPr>
            <w:tcW w:w="960" w:type="dxa"/>
            <w:noWrap w:val="0"/>
            <w:vAlign w:val="center"/>
          </w:tcPr>
          <w:p w14:paraId="67A00AE1">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14:paraId="6B41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74A6F5A6">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2070" w:type="dxa"/>
            <w:noWrap w:val="0"/>
            <w:vAlign w:val="center"/>
          </w:tcPr>
          <w:p w14:paraId="5691C3E3">
            <w:pPr>
              <w:snapToGrid w:val="0"/>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rPr>
              <w:t>江苏大米</w:t>
            </w:r>
            <w:r>
              <w:rPr>
                <w:rFonts w:hint="eastAsia" w:ascii="宋体" w:hAnsi="宋体" w:eastAsia="宋体" w:cs="宋体"/>
                <w:sz w:val="21"/>
                <w:szCs w:val="21"/>
                <w:lang w:eastAsia="zh-CN"/>
              </w:rPr>
              <w:t>（一级）</w:t>
            </w:r>
          </w:p>
        </w:tc>
        <w:tc>
          <w:tcPr>
            <w:tcW w:w="900" w:type="dxa"/>
            <w:noWrap w:val="0"/>
            <w:vAlign w:val="center"/>
          </w:tcPr>
          <w:p w14:paraId="69455529">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斤</w:t>
            </w:r>
          </w:p>
        </w:tc>
        <w:tc>
          <w:tcPr>
            <w:tcW w:w="1290" w:type="dxa"/>
            <w:noWrap w:val="0"/>
            <w:vAlign w:val="center"/>
          </w:tcPr>
          <w:p w14:paraId="46B013B6">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50斤/袋</w:t>
            </w:r>
          </w:p>
        </w:tc>
        <w:tc>
          <w:tcPr>
            <w:tcW w:w="1695" w:type="dxa"/>
            <w:noWrap w:val="0"/>
            <w:vAlign w:val="center"/>
          </w:tcPr>
          <w:p w14:paraId="42B0E60D">
            <w:pPr>
              <w:snapToGrid w:val="0"/>
              <w:spacing w:line="500" w:lineRule="exact"/>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约80吨</w:t>
            </w:r>
          </w:p>
        </w:tc>
        <w:tc>
          <w:tcPr>
            <w:tcW w:w="1395" w:type="dxa"/>
            <w:noWrap w:val="0"/>
            <w:vAlign w:val="center"/>
          </w:tcPr>
          <w:p w14:paraId="2C9D0D40">
            <w:pPr>
              <w:snapToGrid w:val="0"/>
              <w:spacing w:line="5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122%</w:t>
            </w:r>
          </w:p>
        </w:tc>
        <w:tc>
          <w:tcPr>
            <w:tcW w:w="960" w:type="dxa"/>
            <w:noWrap w:val="0"/>
            <w:vAlign w:val="center"/>
          </w:tcPr>
          <w:p w14:paraId="2A7D7D6B">
            <w:pPr>
              <w:snapToGrid w:val="0"/>
              <w:spacing w:line="500" w:lineRule="exact"/>
              <w:jc w:val="center"/>
              <w:rPr>
                <w:rFonts w:hint="eastAsia" w:ascii="宋体" w:hAnsi="宋体" w:eastAsia="宋体" w:cs="宋体"/>
                <w:sz w:val="21"/>
                <w:szCs w:val="21"/>
                <w:lang w:eastAsia="zh-CN"/>
              </w:rPr>
            </w:pPr>
          </w:p>
        </w:tc>
      </w:tr>
      <w:tr w14:paraId="139B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162A1389">
            <w:pPr>
              <w:snapToGrid w:val="0"/>
              <w:spacing w:line="5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070" w:type="dxa"/>
            <w:noWrap w:val="0"/>
            <w:vAlign w:val="center"/>
          </w:tcPr>
          <w:p w14:paraId="033B0123">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eastAsia="zh-CN"/>
              </w:rPr>
              <w:t>精制粉（特一粉）</w:t>
            </w:r>
          </w:p>
        </w:tc>
        <w:tc>
          <w:tcPr>
            <w:tcW w:w="900" w:type="dxa"/>
            <w:noWrap w:val="0"/>
            <w:vAlign w:val="center"/>
          </w:tcPr>
          <w:p w14:paraId="4A4CAD6B">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斤</w:t>
            </w:r>
          </w:p>
        </w:tc>
        <w:tc>
          <w:tcPr>
            <w:tcW w:w="1290" w:type="dxa"/>
            <w:noWrap w:val="0"/>
            <w:vAlign w:val="center"/>
          </w:tcPr>
          <w:p w14:paraId="4DDE1997">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50斤/袋</w:t>
            </w:r>
          </w:p>
        </w:tc>
        <w:tc>
          <w:tcPr>
            <w:tcW w:w="1695" w:type="dxa"/>
            <w:noWrap w:val="0"/>
            <w:vAlign w:val="center"/>
          </w:tcPr>
          <w:p w14:paraId="7979BD1E">
            <w:pPr>
              <w:snapToGrid w:val="0"/>
              <w:spacing w:line="500" w:lineRule="exact"/>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约170吨</w:t>
            </w:r>
          </w:p>
        </w:tc>
        <w:tc>
          <w:tcPr>
            <w:tcW w:w="1395" w:type="dxa"/>
            <w:noWrap w:val="0"/>
            <w:vAlign w:val="center"/>
          </w:tcPr>
          <w:p w14:paraId="69AE9302">
            <w:pPr>
              <w:snapToGrid w:val="0"/>
              <w:spacing w:line="5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w:t>
            </w:r>
          </w:p>
        </w:tc>
        <w:tc>
          <w:tcPr>
            <w:tcW w:w="960" w:type="dxa"/>
            <w:noWrap w:val="0"/>
            <w:vAlign w:val="center"/>
          </w:tcPr>
          <w:p w14:paraId="65A20BEE">
            <w:pPr>
              <w:snapToGrid w:val="0"/>
              <w:spacing w:line="500" w:lineRule="exact"/>
              <w:jc w:val="center"/>
              <w:rPr>
                <w:rFonts w:hint="eastAsia" w:ascii="宋体" w:hAnsi="宋体" w:eastAsia="宋体" w:cs="宋体"/>
                <w:sz w:val="21"/>
                <w:szCs w:val="21"/>
                <w:lang w:eastAsia="zh-CN"/>
              </w:rPr>
            </w:pPr>
          </w:p>
        </w:tc>
      </w:tr>
      <w:tr w14:paraId="6B2B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3D3BDC99">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955" w:type="dxa"/>
            <w:gridSpan w:val="4"/>
            <w:noWrap w:val="0"/>
            <w:vAlign w:val="center"/>
          </w:tcPr>
          <w:p w14:paraId="78AFECAE">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杂粮</w:t>
            </w:r>
          </w:p>
        </w:tc>
        <w:tc>
          <w:tcPr>
            <w:tcW w:w="1395" w:type="dxa"/>
            <w:vMerge w:val="restart"/>
            <w:noWrap w:val="0"/>
            <w:vAlign w:val="center"/>
          </w:tcPr>
          <w:p w14:paraId="123A3ECC">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105%</w:t>
            </w:r>
          </w:p>
        </w:tc>
        <w:tc>
          <w:tcPr>
            <w:tcW w:w="960" w:type="dxa"/>
            <w:noWrap w:val="0"/>
            <w:vAlign w:val="center"/>
          </w:tcPr>
          <w:p w14:paraId="52B29580">
            <w:pPr>
              <w:snapToGrid w:val="0"/>
              <w:spacing w:line="500" w:lineRule="exact"/>
              <w:jc w:val="center"/>
              <w:rPr>
                <w:rFonts w:hint="eastAsia" w:ascii="宋体" w:hAnsi="宋体" w:eastAsia="宋体" w:cs="宋体"/>
                <w:sz w:val="21"/>
                <w:szCs w:val="21"/>
                <w:lang w:eastAsia="zh-CN"/>
              </w:rPr>
            </w:pPr>
          </w:p>
        </w:tc>
      </w:tr>
      <w:tr w14:paraId="6D09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0ACDACFD">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2070" w:type="dxa"/>
            <w:noWrap w:val="0"/>
            <w:vAlign w:val="center"/>
          </w:tcPr>
          <w:p w14:paraId="693626B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玉米面</w:t>
            </w:r>
          </w:p>
        </w:tc>
        <w:tc>
          <w:tcPr>
            <w:tcW w:w="900" w:type="dxa"/>
            <w:noWrap w:val="0"/>
            <w:vAlign w:val="center"/>
          </w:tcPr>
          <w:p w14:paraId="2517141B">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290" w:type="dxa"/>
            <w:noWrap w:val="0"/>
            <w:vAlign w:val="center"/>
          </w:tcPr>
          <w:p w14:paraId="0DC5FC9E">
            <w:pPr>
              <w:snapToGrid w:val="0"/>
              <w:spacing w:line="5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695" w:type="dxa"/>
            <w:noWrap w:val="0"/>
            <w:vAlign w:val="center"/>
          </w:tcPr>
          <w:p w14:paraId="78E0E78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约</w:t>
            </w:r>
            <w:r>
              <w:rPr>
                <w:rFonts w:hint="eastAsia" w:ascii="宋体" w:hAnsi="宋体" w:eastAsia="宋体" w:cs="宋体"/>
                <w:i w:val="0"/>
                <w:iCs w:val="0"/>
                <w:color w:val="000000"/>
                <w:kern w:val="0"/>
                <w:sz w:val="21"/>
                <w:szCs w:val="21"/>
                <w:u w:val="none"/>
                <w:lang w:val="en-US" w:eastAsia="zh-CN" w:bidi="ar"/>
              </w:rPr>
              <w:t>16.2</w:t>
            </w:r>
            <w:r>
              <w:rPr>
                <w:rFonts w:hint="eastAsia" w:ascii="宋体" w:hAnsi="宋体" w:eastAsia="宋体" w:cs="宋体"/>
                <w:b w:val="0"/>
                <w:bCs w:val="0"/>
                <w:color w:val="auto"/>
                <w:sz w:val="21"/>
                <w:szCs w:val="21"/>
                <w:lang w:val="en-US" w:eastAsia="zh-CN"/>
              </w:rPr>
              <w:t>吨</w:t>
            </w:r>
          </w:p>
        </w:tc>
        <w:tc>
          <w:tcPr>
            <w:tcW w:w="1395" w:type="dxa"/>
            <w:vMerge w:val="continue"/>
            <w:noWrap w:val="0"/>
            <w:vAlign w:val="center"/>
          </w:tcPr>
          <w:p w14:paraId="648E5C83">
            <w:pPr>
              <w:snapToGrid w:val="0"/>
              <w:spacing w:line="500" w:lineRule="exact"/>
              <w:jc w:val="center"/>
              <w:rPr>
                <w:rFonts w:hint="eastAsia" w:ascii="宋体" w:hAnsi="宋体" w:eastAsia="宋体" w:cs="宋体"/>
                <w:sz w:val="21"/>
                <w:szCs w:val="21"/>
              </w:rPr>
            </w:pPr>
          </w:p>
        </w:tc>
        <w:tc>
          <w:tcPr>
            <w:tcW w:w="960" w:type="dxa"/>
            <w:noWrap w:val="0"/>
            <w:vAlign w:val="center"/>
          </w:tcPr>
          <w:p w14:paraId="1A154407">
            <w:pPr>
              <w:snapToGrid w:val="0"/>
              <w:spacing w:line="500" w:lineRule="exact"/>
              <w:jc w:val="center"/>
              <w:rPr>
                <w:rFonts w:hint="eastAsia" w:ascii="宋体" w:hAnsi="宋体" w:eastAsia="宋体" w:cs="宋体"/>
                <w:sz w:val="21"/>
                <w:szCs w:val="21"/>
                <w:lang w:eastAsia="zh-CN"/>
              </w:rPr>
            </w:pPr>
          </w:p>
        </w:tc>
      </w:tr>
      <w:tr w14:paraId="6EA0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20EE5720">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2070" w:type="dxa"/>
            <w:noWrap w:val="0"/>
            <w:vAlign w:val="center"/>
          </w:tcPr>
          <w:p w14:paraId="36C5A2B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小米</w:t>
            </w:r>
          </w:p>
        </w:tc>
        <w:tc>
          <w:tcPr>
            <w:tcW w:w="900" w:type="dxa"/>
            <w:noWrap w:val="0"/>
            <w:vAlign w:val="center"/>
          </w:tcPr>
          <w:p w14:paraId="18B0975C">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290" w:type="dxa"/>
            <w:noWrap w:val="0"/>
            <w:vAlign w:val="center"/>
          </w:tcPr>
          <w:p w14:paraId="6174012A">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695" w:type="dxa"/>
            <w:noWrap w:val="0"/>
            <w:vAlign w:val="center"/>
          </w:tcPr>
          <w:p w14:paraId="6A2B23A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约</w:t>
            </w:r>
            <w:r>
              <w:rPr>
                <w:rFonts w:hint="eastAsia" w:ascii="宋体" w:hAnsi="宋体" w:eastAsia="宋体" w:cs="宋体"/>
                <w:i w:val="0"/>
                <w:iCs w:val="0"/>
                <w:color w:val="000000"/>
                <w:kern w:val="0"/>
                <w:sz w:val="21"/>
                <w:szCs w:val="21"/>
                <w:u w:val="none"/>
                <w:lang w:val="en-US" w:eastAsia="zh-CN" w:bidi="ar"/>
              </w:rPr>
              <w:t>10.7</w:t>
            </w:r>
            <w:r>
              <w:rPr>
                <w:rFonts w:hint="eastAsia" w:ascii="宋体" w:hAnsi="宋体" w:eastAsia="宋体" w:cs="宋体"/>
                <w:b w:val="0"/>
                <w:bCs w:val="0"/>
                <w:color w:val="auto"/>
                <w:sz w:val="21"/>
                <w:szCs w:val="21"/>
                <w:lang w:val="en-US" w:eastAsia="zh-CN"/>
              </w:rPr>
              <w:t>吨</w:t>
            </w:r>
          </w:p>
        </w:tc>
        <w:tc>
          <w:tcPr>
            <w:tcW w:w="1395" w:type="dxa"/>
            <w:vMerge w:val="continue"/>
            <w:noWrap w:val="0"/>
            <w:vAlign w:val="center"/>
          </w:tcPr>
          <w:p w14:paraId="7F15658E">
            <w:pPr>
              <w:snapToGrid w:val="0"/>
              <w:spacing w:line="500" w:lineRule="exact"/>
              <w:jc w:val="center"/>
              <w:rPr>
                <w:rFonts w:hint="eastAsia" w:ascii="宋体" w:hAnsi="宋体" w:eastAsia="宋体" w:cs="宋体"/>
                <w:sz w:val="21"/>
                <w:szCs w:val="21"/>
              </w:rPr>
            </w:pPr>
          </w:p>
        </w:tc>
        <w:tc>
          <w:tcPr>
            <w:tcW w:w="960" w:type="dxa"/>
            <w:noWrap w:val="0"/>
            <w:vAlign w:val="center"/>
          </w:tcPr>
          <w:p w14:paraId="3A7D166E">
            <w:pPr>
              <w:snapToGrid w:val="0"/>
              <w:spacing w:line="500" w:lineRule="exact"/>
              <w:jc w:val="center"/>
              <w:rPr>
                <w:rFonts w:hint="eastAsia" w:ascii="宋体" w:hAnsi="宋体" w:eastAsia="宋体" w:cs="宋体"/>
                <w:sz w:val="21"/>
                <w:szCs w:val="21"/>
                <w:lang w:eastAsia="zh-CN"/>
              </w:rPr>
            </w:pPr>
          </w:p>
        </w:tc>
      </w:tr>
      <w:tr w14:paraId="3712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2953A865">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2070" w:type="dxa"/>
            <w:noWrap w:val="0"/>
            <w:vAlign w:val="center"/>
          </w:tcPr>
          <w:p w14:paraId="3DE17C2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玉米糁</w:t>
            </w:r>
          </w:p>
        </w:tc>
        <w:tc>
          <w:tcPr>
            <w:tcW w:w="900" w:type="dxa"/>
            <w:noWrap w:val="0"/>
            <w:vAlign w:val="center"/>
          </w:tcPr>
          <w:p w14:paraId="5A6F5FB8">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290" w:type="dxa"/>
            <w:noWrap w:val="0"/>
            <w:vAlign w:val="center"/>
          </w:tcPr>
          <w:p w14:paraId="4C9601EA">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695" w:type="dxa"/>
            <w:noWrap w:val="0"/>
            <w:vAlign w:val="center"/>
          </w:tcPr>
          <w:p w14:paraId="71F51A6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约</w:t>
            </w:r>
            <w:r>
              <w:rPr>
                <w:rFonts w:hint="eastAsia" w:ascii="宋体" w:hAnsi="宋体" w:eastAsia="宋体" w:cs="宋体"/>
                <w:i w:val="0"/>
                <w:iCs w:val="0"/>
                <w:color w:val="000000"/>
                <w:kern w:val="0"/>
                <w:sz w:val="21"/>
                <w:szCs w:val="21"/>
                <w:u w:val="none"/>
                <w:lang w:val="en-US" w:eastAsia="zh-CN" w:bidi="ar"/>
              </w:rPr>
              <w:t>10.25</w:t>
            </w:r>
            <w:r>
              <w:rPr>
                <w:rFonts w:hint="eastAsia" w:ascii="宋体" w:hAnsi="宋体" w:eastAsia="宋体" w:cs="宋体"/>
                <w:b w:val="0"/>
                <w:bCs w:val="0"/>
                <w:color w:val="auto"/>
                <w:sz w:val="21"/>
                <w:szCs w:val="21"/>
                <w:lang w:val="en-US" w:eastAsia="zh-CN"/>
              </w:rPr>
              <w:t>吨</w:t>
            </w:r>
          </w:p>
        </w:tc>
        <w:tc>
          <w:tcPr>
            <w:tcW w:w="1395" w:type="dxa"/>
            <w:vMerge w:val="continue"/>
            <w:noWrap w:val="0"/>
            <w:vAlign w:val="center"/>
          </w:tcPr>
          <w:p w14:paraId="75F95638">
            <w:pPr>
              <w:snapToGrid w:val="0"/>
              <w:spacing w:line="500" w:lineRule="exact"/>
              <w:jc w:val="center"/>
              <w:rPr>
                <w:rFonts w:hint="eastAsia" w:ascii="宋体" w:hAnsi="宋体" w:eastAsia="宋体" w:cs="宋体"/>
                <w:sz w:val="21"/>
                <w:szCs w:val="21"/>
              </w:rPr>
            </w:pPr>
          </w:p>
        </w:tc>
        <w:tc>
          <w:tcPr>
            <w:tcW w:w="960" w:type="dxa"/>
            <w:noWrap w:val="0"/>
            <w:vAlign w:val="center"/>
          </w:tcPr>
          <w:p w14:paraId="1D99D591">
            <w:pPr>
              <w:snapToGrid w:val="0"/>
              <w:spacing w:line="500" w:lineRule="exact"/>
              <w:jc w:val="center"/>
              <w:rPr>
                <w:rFonts w:hint="eastAsia" w:ascii="宋体" w:hAnsi="宋体" w:eastAsia="宋体" w:cs="宋体"/>
                <w:sz w:val="21"/>
                <w:szCs w:val="21"/>
                <w:lang w:eastAsia="zh-CN"/>
              </w:rPr>
            </w:pPr>
          </w:p>
        </w:tc>
      </w:tr>
      <w:tr w14:paraId="09D0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2FFF70AA">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2070" w:type="dxa"/>
            <w:noWrap w:val="0"/>
            <w:vAlign w:val="center"/>
          </w:tcPr>
          <w:p w14:paraId="50ABEC4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糯米</w:t>
            </w:r>
          </w:p>
        </w:tc>
        <w:tc>
          <w:tcPr>
            <w:tcW w:w="900" w:type="dxa"/>
            <w:noWrap w:val="0"/>
            <w:vAlign w:val="center"/>
          </w:tcPr>
          <w:p w14:paraId="577D6987">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290" w:type="dxa"/>
            <w:noWrap w:val="0"/>
            <w:vAlign w:val="center"/>
          </w:tcPr>
          <w:p w14:paraId="62E71995">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695" w:type="dxa"/>
            <w:noWrap w:val="0"/>
            <w:vAlign w:val="center"/>
          </w:tcPr>
          <w:p w14:paraId="0A2CD70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约</w:t>
            </w:r>
            <w:r>
              <w:rPr>
                <w:rFonts w:hint="eastAsia" w:ascii="宋体" w:hAnsi="宋体" w:eastAsia="宋体" w:cs="宋体"/>
                <w:i w:val="0"/>
                <w:iCs w:val="0"/>
                <w:color w:val="000000"/>
                <w:kern w:val="0"/>
                <w:sz w:val="21"/>
                <w:szCs w:val="21"/>
                <w:u w:val="none"/>
                <w:lang w:val="en-US" w:eastAsia="zh-CN" w:bidi="ar"/>
              </w:rPr>
              <w:t>6.3</w:t>
            </w:r>
            <w:r>
              <w:rPr>
                <w:rFonts w:hint="eastAsia" w:ascii="宋体" w:hAnsi="宋体" w:eastAsia="宋体" w:cs="宋体"/>
                <w:b w:val="0"/>
                <w:bCs w:val="0"/>
                <w:color w:val="auto"/>
                <w:sz w:val="21"/>
                <w:szCs w:val="21"/>
                <w:lang w:val="en-US" w:eastAsia="zh-CN"/>
              </w:rPr>
              <w:t>吨</w:t>
            </w:r>
          </w:p>
        </w:tc>
        <w:tc>
          <w:tcPr>
            <w:tcW w:w="1395" w:type="dxa"/>
            <w:vMerge w:val="continue"/>
            <w:noWrap w:val="0"/>
            <w:vAlign w:val="center"/>
          </w:tcPr>
          <w:p w14:paraId="1D63A3EC">
            <w:pPr>
              <w:snapToGrid w:val="0"/>
              <w:spacing w:line="500" w:lineRule="exact"/>
              <w:jc w:val="center"/>
              <w:rPr>
                <w:rFonts w:hint="eastAsia" w:ascii="宋体" w:hAnsi="宋体" w:eastAsia="宋体" w:cs="宋体"/>
                <w:sz w:val="21"/>
                <w:szCs w:val="21"/>
              </w:rPr>
            </w:pPr>
          </w:p>
        </w:tc>
        <w:tc>
          <w:tcPr>
            <w:tcW w:w="960" w:type="dxa"/>
            <w:noWrap w:val="0"/>
            <w:vAlign w:val="center"/>
          </w:tcPr>
          <w:p w14:paraId="26F3BC7B">
            <w:pPr>
              <w:snapToGrid w:val="0"/>
              <w:spacing w:line="500" w:lineRule="exact"/>
              <w:jc w:val="center"/>
              <w:rPr>
                <w:rFonts w:hint="eastAsia" w:ascii="宋体" w:hAnsi="宋体" w:eastAsia="宋体" w:cs="宋体"/>
                <w:sz w:val="21"/>
                <w:szCs w:val="21"/>
                <w:lang w:eastAsia="zh-CN"/>
              </w:rPr>
            </w:pPr>
          </w:p>
        </w:tc>
      </w:tr>
      <w:tr w14:paraId="665C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5662F451">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2070" w:type="dxa"/>
            <w:noWrap w:val="0"/>
            <w:vAlign w:val="center"/>
          </w:tcPr>
          <w:p w14:paraId="0110CEA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花生米</w:t>
            </w:r>
          </w:p>
        </w:tc>
        <w:tc>
          <w:tcPr>
            <w:tcW w:w="900" w:type="dxa"/>
            <w:noWrap w:val="0"/>
            <w:vAlign w:val="center"/>
          </w:tcPr>
          <w:p w14:paraId="744D62FC">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290" w:type="dxa"/>
            <w:noWrap w:val="0"/>
            <w:vAlign w:val="center"/>
          </w:tcPr>
          <w:p w14:paraId="0AE4AB94">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695" w:type="dxa"/>
            <w:noWrap w:val="0"/>
            <w:vAlign w:val="center"/>
          </w:tcPr>
          <w:p w14:paraId="1028042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约</w:t>
            </w:r>
            <w:r>
              <w:rPr>
                <w:rFonts w:hint="eastAsia" w:ascii="宋体" w:hAnsi="宋体" w:eastAsia="宋体" w:cs="宋体"/>
                <w:i w:val="0"/>
                <w:iCs w:val="0"/>
                <w:color w:val="000000"/>
                <w:kern w:val="0"/>
                <w:sz w:val="21"/>
                <w:szCs w:val="21"/>
                <w:u w:val="none"/>
                <w:lang w:val="en-US" w:eastAsia="zh-CN" w:bidi="ar"/>
              </w:rPr>
              <w:t>5.65</w:t>
            </w:r>
            <w:r>
              <w:rPr>
                <w:rFonts w:hint="eastAsia" w:ascii="宋体" w:hAnsi="宋体" w:eastAsia="宋体" w:cs="宋体"/>
                <w:b w:val="0"/>
                <w:bCs w:val="0"/>
                <w:color w:val="auto"/>
                <w:sz w:val="21"/>
                <w:szCs w:val="21"/>
                <w:lang w:val="en-US" w:eastAsia="zh-CN"/>
              </w:rPr>
              <w:t>吨</w:t>
            </w:r>
          </w:p>
        </w:tc>
        <w:tc>
          <w:tcPr>
            <w:tcW w:w="1395" w:type="dxa"/>
            <w:vMerge w:val="continue"/>
            <w:noWrap w:val="0"/>
            <w:vAlign w:val="center"/>
          </w:tcPr>
          <w:p w14:paraId="1390BF4E">
            <w:pPr>
              <w:snapToGrid w:val="0"/>
              <w:spacing w:line="500" w:lineRule="exact"/>
              <w:jc w:val="center"/>
              <w:rPr>
                <w:rFonts w:hint="eastAsia" w:ascii="宋体" w:hAnsi="宋体" w:eastAsia="宋体" w:cs="宋体"/>
                <w:sz w:val="21"/>
                <w:szCs w:val="21"/>
              </w:rPr>
            </w:pPr>
          </w:p>
        </w:tc>
        <w:tc>
          <w:tcPr>
            <w:tcW w:w="960" w:type="dxa"/>
            <w:noWrap w:val="0"/>
            <w:vAlign w:val="center"/>
          </w:tcPr>
          <w:p w14:paraId="6F5C1159">
            <w:pPr>
              <w:snapToGrid w:val="0"/>
              <w:spacing w:line="500" w:lineRule="exact"/>
              <w:jc w:val="center"/>
              <w:rPr>
                <w:rFonts w:hint="eastAsia" w:ascii="宋体" w:hAnsi="宋体" w:eastAsia="宋体" w:cs="宋体"/>
                <w:sz w:val="21"/>
                <w:szCs w:val="21"/>
                <w:lang w:eastAsia="zh-CN"/>
              </w:rPr>
            </w:pPr>
          </w:p>
        </w:tc>
      </w:tr>
      <w:tr w14:paraId="2EE1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6C4C6B93">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2070" w:type="dxa"/>
            <w:noWrap w:val="0"/>
            <w:vAlign w:val="center"/>
          </w:tcPr>
          <w:p w14:paraId="2F12806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绿豆</w:t>
            </w:r>
          </w:p>
        </w:tc>
        <w:tc>
          <w:tcPr>
            <w:tcW w:w="900" w:type="dxa"/>
            <w:noWrap w:val="0"/>
            <w:vAlign w:val="center"/>
          </w:tcPr>
          <w:p w14:paraId="7CF8C46B">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290" w:type="dxa"/>
            <w:noWrap w:val="0"/>
            <w:vAlign w:val="center"/>
          </w:tcPr>
          <w:p w14:paraId="735C1613">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695" w:type="dxa"/>
            <w:noWrap w:val="0"/>
            <w:vAlign w:val="center"/>
          </w:tcPr>
          <w:p w14:paraId="7A961D5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约</w:t>
            </w:r>
            <w:r>
              <w:rPr>
                <w:rFonts w:hint="eastAsia" w:ascii="宋体" w:hAnsi="宋体" w:eastAsia="宋体" w:cs="宋体"/>
                <w:i w:val="0"/>
                <w:iCs w:val="0"/>
                <w:color w:val="000000"/>
                <w:kern w:val="0"/>
                <w:sz w:val="21"/>
                <w:szCs w:val="21"/>
                <w:u w:val="none"/>
                <w:lang w:val="en-US" w:eastAsia="zh-CN" w:bidi="ar"/>
              </w:rPr>
              <w:t>2.8</w:t>
            </w:r>
            <w:r>
              <w:rPr>
                <w:rFonts w:hint="eastAsia" w:ascii="宋体" w:hAnsi="宋体" w:eastAsia="宋体" w:cs="宋体"/>
                <w:b w:val="0"/>
                <w:bCs w:val="0"/>
                <w:color w:val="auto"/>
                <w:sz w:val="21"/>
                <w:szCs w:val="21"/>
                <w:lang w:val="en-US" w:eastAsia="zh-CN"/>
              </w:rPr>
              <w:t>吨</w:t>
            </w:r>
          </w:p>
        </w:tc>
        <w:tc>
          <w:tcPr>
            <w:tcW w:w="1395" w:type="dxa"/>
            <w:vMerge w:val="continue"/>
            <w:noWrap w:val="0"/>
            <w:vAlign w:val="center"/>
          </w:tcPr>
          <w:p w14:paraId="5D801523">
            <w:pPr>
              <w:snapToGrid w:val="0"/>
              <w:spacing w:line="500" w:lineRule="exact"/>
              <w:jc w:val="center"/>
              <w:rPr>
                <w:rFonts w:hint="eastAsia" w:ascii="宋体" w:hAnsi="宋体" w:eastAsia="宋体" w:cs="宋体"/>
                <w:sz w:val="21"/>
                <w:szCs w:val="21"/>
              </w:rPr>
            </w:pPr>
          </w:p>
        </w:tc>
        <w:tc>
          <w:tcPr>
            <w:tcW w:w="960" w:type="dxa"/>
            <w:noWrap w:val="0"/>
            <w:vAlign w:val="center"/>
          </w:tcPr>
          <w:p w14:paraId="6A78132B">
            <w:pPr>
              <w:snapToGrid w:val="0"/>
              <w:spacing w:line="500" w:lineRule="exact"/>
              <w:jc w:val="center"/>
              <w:rPr>
                <w:rFonts w:hint="eastAsia" w:ascii="宋体" w:hAnsi="宋体" w:eastAsia="宋体" w:cs="宋体"/>
                <w:sz w:val="21"/>
                <w:szCs w:val="21"/>
                <w:lang w:eastAsia="zh-CN"/>
              </w:rPr>
            </w:pPr>
          </w:p>
        </w:tc>
      </w:tr>
      <w:tr w14:paraId="17DA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260D3A44">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2070" w:type="dxa"/>
            <w:noWrap w:val="0"/>
            <w:vAlign w:val="center"/>
          </w:tcPr>
          <w:p w14:paraId="0EFA092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黑香米</w:t>
            </w:r>
          </w:p>
        </w:tc>
        <w:tc>
          <w:tcPr>
            <w:tcW w:w="900" w:type="dxa"/>
            <w:noWrap w:val="0"/>
            <w:vAlign w:val="center"/>
          </w:tcPr>
          <w:p w14:paraId="3BCA9429">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290" w:type="dxa"/>
            <w:noWrap w:val="0"/>
            <w:vAlign w:val="center"/>
          </w:tcPr>
          <w:p w14:paraId="42E450BE">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695" w:type="dxa"/>
            <w:noWrap w:val="0"/>
            <w:vAlign w:val="center"/>
          </w:tcPr>
          <w:p w14:paraId="6D97BEC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约</w:t>
            </w:r>
            <w:r>
              <w:rPr>
                <w:rFonts w:hint="eastAsia" w:ascii="宋体" w:hAnsi="宋体" w:eastAsia="宋体" w:cs="宋体"/>
                <w:i w:val="0"/>
                <w:iCs w:val="0"/>
                <w:color w:val="000000"/>
                <w:kern w:val="0"/>
                <w:sz w:val="21"/>
                <w:szCs w:val="21"/>
                <w:u w:val="none"/>
                <w:lang w:val="en-US" w:eastAsia="zh-CN" w:bidi="ar"/>
              </w:rPr>
              <w:t>2.4</w:t>
            </w:r>
            <w:r>
              <w:rPr>
                <w:rFonts w:hint="eastAsia" w:ascii="宋体" w:hAnsi="宋体" w:eastAsia="宋体" w:cs="宋体"/>
                <w:b w:val="0"/>
                <w:bCs w:val="0"/>
                <w:color w:val="auto"/>
                <w:sz w:val="21"/>
                <w:szCs w:val="21"/>
                <w:lang w:val="en-US" w:eastAsia="zh-CN"/>
              </w:rPr>
              <w:t>吨</w:t>
            </w:r>
          </w:p>
        </w:tc>
        <w:tc>
          <w:tcPr>
            <w:tcW w:w="1395" w:type="dxa"/>
            <w:vMerge w:val="continue"/>
            <w:noWrap w:val="0"/>
            <w:vAlign w:val="center"/>
          </w:tcPr>
          <w:p w14:paraId="3EEE2813">
            <w:pPr>
              <w:snapToGrid w:val="0"/>
              <w:spacing w:line="500" w:lineRule="exact"/>
              <w:jc w:val="center"/>
              <w:rPr>
                <w:rFonts w:hint="eastAsia" w:ascii="宋体" w:hAnsi="宋体" w:eastAsia="宋体" w:cs="宋体"/>
                <w:sz w:val="21"/>
                <w:szCs w:val="21"/>
              </w:rPr>
            </w:pPr>
          </w:p>
        </w:tc>
        <w:tc>
          <w:tcPr>
            <w:tcW w:w="960" w:type="dxa"/>
            <w:noWrap w:val="0"/>
            <w:vAlign w:val="center"/>
          </w:tcPr>
          <w:p w14:paraId="300913EB">
            <w:pPr>
              <w:snapToGrid w:val="0"/>
              <w:spacing w:line="500" w:lineRule="exact"/>
              <w:jc w:val="center"/>
              <w:rPr>
                <w:rFonts w:hint="eastAsia" w:ascii="宋体" w:hAnsi="宋体" w:eastAsia="宋体" w:cs="宋体"/>
                <w:sz w:val="21"/>
                <w:szCs w:val="21"/>
                <w:lang w:eastAsia="zh-CN"/>
              </w:rPr>
            </w:pPr>
          </w:p>
        </w:tc>
      </w:tr>
      <w:tr w14:paraId="054B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68E152C7">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2070" w:type="dxa"/>
            <w:noWrap w:val="0"/>
            <w:vAlign w:val="center"/>
          </w:tcPr>
          <w:p w14:paraId="1C9AB02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黄豆</w:t>
            </w:r>
          </w:p>
        </w:tc>
        <w:tc>
          <w:tcPr>
            <w:tcW w:w="900" w:type="dxa"/>
            <w:noWrap w:val="0"/>
            <w:vAlign w:val="center"/>
          </w:tcPr>
          <w:p w14:paraId="6046EF45">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290" w:type="dxa"/>
            <w:noWrap w:val="0"/>
            <w:vAlign w:val="center"/>
          </w:tcPr>
          <w:p w14:paraId="3E582059">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695" w:type="dxa"/>
            <w:noWrap w:val="0"/>
            <w:vAlign w:val="center"/>
          </w:tcPr>
          <w:p w14:paraId="469E023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约</w:t>
            </w:r>
            <w:r>
              <w:rPr>
                <w:rFonts w:hint="eastAsia" w:ascii="宋体" w:hAnsi="宋体" w:eastAsia="宋体" w:cs="宋体"/>
                <w:i w:val="0"/>
                <w:iCs w:val="0"/>
                <w:color w:val="000000"/>
                <w:kern w:val="0"/>
                <w:sz w:val="21"/>
                <w:szCs w:val="21"/>
                <w:u w:val="none"/>
                <w:lang w:val="en-US" w:eastAsia="zh-CN" w:bidi="ar"/>
              </w:rPr>
              <w:t>2.05</w:t>
            </w:r>
            <w:r>
              <w:rPr>
                <w:rFonts w:hint="eastAsia" w:ascii="宋体" w:hAnsi="宋体" w:eastAsia="宋体" w:cs="宋体"/>
                <w:b w:val="0"/>
                <w:bCs w:val="0"/>
                <w:color w:val="auto"/>
                <w:sz w:val="21"/>
                <w:szCs w:val="21"/>
                <w:lang w:val="en-US" w:eastAsia="zh-CN"/>
              </w:rPr>
              <w:t>吨</w:t>
            </w:r>
          </w:p>
        </w:tc>
        <w:tc>
          <w:tcPr>
            <w:tcW w:w="1395" w:type="dxa"/>
            <w:vMerge w:val="continue"/>
            <w:noWrap w:val="0"/>
            <w:vAlign w:val="center"/>
          </w:tcPr>
          <w:p w14:paraId="37661069">
            <w:pPr>
              <w:snapToGrid w:val="0"/>
              <w:spacing w:line="500" w:lineRule="exact"/>
              <w:jc w:val="center"/>
              <w:rPr>
                <w:rFonts w:hint="eastAsia" w:ascii="宋体" w:hAnsi="宋体" w:eastAsia="宋体" w:cs="宋体"/>
                <w:sz w:val="21"/>
                <w:szCs w:val="21"/>
              </w:rPr>
            </w:pPr>
          </w:p>
        </w:tc>
        <w:tc>
          <w:tcPr>
            <w:tcW w:w="960" w:type="dxa"/>
            <w:noWrap w:val="0"/>
            <w:vAlign w:val="center"/>
          </w:tcPr>
          <w:p w14:paraId="538FAAC7">
            <w:pPr>
              <w:snapToGrid w:val="0"/>
              <w:spacing w:line="500" w:lineRule="exact"/>
              <w:jc w:val="center"/>
              <w:rPr>
                <w:rFonts w:hint="eastAsia" w:ascii="宋体" w:hAnsi="宋体" w:eastAsia="宋体" w:cs="宋体"/>
                <w:sz w:val="21"/>
                <w:szCs w:val="21"/>
                <w:lang w:eastAsia="zh-CN"/>
              </w:rPr>
            </w:pPr>
          </w:p>
        </w:tc>
      </w:tr>
      <w:tr w14:paraId="594C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697CA11E">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3.9</w:t>
            </w:r>
          </w:p>
        </w:tc>
        <w:tc>
          <w:tcPr>
            <w:tcW w:w="2070" w:type="dxa"/>
            <w:noWrap w:val="0"/>
            <w:vAlign w:val="center"/>
          </w:tcPr>
          <w:p w14:paraId="2A2F4C9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红小豆</w:t>
            </w:r>
          </w:p>
        </w:tc>
        <w:tc>
          <w:tcPr>
            <w:tcW w:w="900" w:type="dxa"/>
            <w:noWrap w:val="0"/>
            <w:vAlign w:val="center"/>
          </w:tcPr>
          <w:p w14:paraId="032ED702">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290" w:type="dxa"/>
            <w:noWrap w:val="0"/>
            <w:vAlign w:val="center"/>
          </w:tcPr>
          <w:p w14:paraId="715B1A89">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695" w:type="dxa"/>
            <w:noWrap w:val="0"/>
            <w:vAlign w:val="center"/>
          </w:tcPr>
          <w:p w14:paraId="25E43F5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约</w:t>
            </w:r>
            <w:r>
              <w:rPr>
                <w:rFonts w:hint="eastAsia" w:ascii="宋体" w:hAnsi="宋体" w:eastAsia="宋体" w:cs="宋体"/>
                <w:i w:val="0"/>
                <w:iCs w:val="0"/>
                <w:color w:val="000000"/>
                <w:kern w:val="0"/>
                <w:sz w:val="21"/>
                <w:szCs w:val="21"/>
                <w:u w:val="none"/>
                <w:lang w:val="en-US" w:eastAsia="zh-CN" w:bidi="ar"/>
              </w:rPr>
              <w:t>1.45</w:t>
            </w:r>
            <w:r>
              <w:rPr>
                <w:rFonts w:hint="eastAsia" w:ascii="宋体" w:hAnsi="宋体" w:eastAsia="宋体" w:cs="宋体"/>
                <w:b w:val="0"/>
                <w:bCs w:val="0"/>
                <w:color w:val="auto"/>
                <w:sz w:val="21"/>
                <w:szCs w:val="21"/>
                <w:lang w:val="en-US" w:eastAsia="zh-CN"/>
              </w:rPr>
              <w:t>吨</w:t>
            </w:r>
          </w:p>
        </w:tc>
        <w:tc>
          <w:tcPr>
            <w:tcW w:w="1395" w:type="dxa"/>
            <w:vMerge w:val="continue"/>
            <w:noWrap w:val="0"/>
            <w:vAlign w:val="center"/>
          </w:tcPr>
          <w:p w14:paraId="796F0623">
            <w:pPr>
              <w:snapToGrid w:val="0"/>
              <w:spacing w:line="500" w:lineRule="exact"/>
              <w:jc w:val="center"/>
              <w:rPr>
                <w:rFonts w:hint="eastAsia" w:ascii="宋体" w:hAnsi="宋体" w:eastAsia="宋体" w:cs="宋体"/>
                <w:sz w:val="21"/>
                <w:szCs w:val="21"/>
              </w:rPr>
            </w:pPr>
          </w:p>
        </w:tc>
        <w:tc>
          <w:tcPr>
            <w:tcW w:w="960" w:type="dxa"/>
            <w:noWrap w:val="0"/>
            <w:vAlign w:val="center"/>
          </w:tcPr>
          <w:p w14:paraId="39BC73E0">
            <w:pPr>
              <w:snapToGrid w:val="0"/>
              <w:spacing w:line="500" w:lineRule="exact"/>
              <w:jc w:val="center"/>
              <w:rPr>
                <w:rFonts w:hint="eastAsia" w:ascii="宋体" w:hAnsi="宋体" w:eastAsia="宋体" w:cs="宋体"/>
                <w:sz w:val="21"/>
                <w:szCs w:val="21"/>
                <w:lang w:eastAsia="zh-CN"/>
              </w:rPr>
            </w:pPr>
          </w:p>
        </w:tc>
      </w:tr>
      <w:tr w14:paraId="5967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1E2D92BC">
            <w:pPr>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3.10</w:t>
            </w:r>
          </w:p>
        </w:tc>
        <w:tc>
          <w:tcPr>
            <w:tcW w:w="2070" w:type="dxa"/>
            <w:noWrap w:val="0"/>
            <w:vAlign w:val="center"/>
          </w:tcPr>
          <w:p w14:paraId="73883F0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薏仁米等</w:t>
            </w:r>
          </w:p>
        </w:tc>
        <w:tc>
          <w:tcPr>
            <w:tcW w:w="900" w:type="dxa"/>
            <w:noWrap w:val="0"/>
            <w:vAlign w:val="center"/>
          </w:tcPr>
          <w:p w14:paraId="4EBD4F8E">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290" w:type="dxa"/>
            <w:noWrap w:val="0"/>
            <w:vAlign w:val="center"/>
          </w:tcPr>
          <w:p w14:paraId="2009B095">
            <w:pPr>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695" w:type="dxa"/>
            <w:noWrap w:val="0"/>
            <w:vAlign w:val="center"/>
          </w:tcPr>
          <w:p w14:paraId="0E927F1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highlight w:val="none"/>
                <w:u w:val="none"/>
                <w:lang w:val="en-US" w:eastAsia="zh-CN" w:bidi="ar"/>
              </w:rPr>
              <w:t>少量</w:t>
            </w:r>
          </w:p>
        </w:tc>
        <w:tc>
          <w:tcPr>
            <w:tcW w:w="1395" w:type="dxa"/>
            <w:vMerge w:val="continue"/>
            <w:noWrap w:val="0"/>
            <w:vAlign w:val="center"/>
          </w:tcPr>
          <w:p w14:paraId="57BE511F">
            <w:pPr>
              <w:snapToGrid w:val="0"/>
              <w:spacing w:line="500" w:lineRule="exact"/>
              <w:jc w:val="center"/>
              <w:rPr>
                <w:rFonts w:hint="eastAsia" w:ascii="宋体" w:hAnsi="宋体" w:eastAsia="宋体" w:cs="宋体"/>
                <w:sz w:val="21"/>
                <w:szCs w:val="21"/>
              </w:rPr>
            </w:pPr>
          </w:p>
        </w:tc>
        <w:tc>
          <w:tcPr>
            <w:tcW w:w="960" w:type="dxa"/>
            <w:noWrap w:val="0"/>
            <w:vAlign w:val="center"/>
          </w:tcPr>
          <w:p w14:paraId="22D97C62">
            <w:pPr>
              <w:snapToGrid w:val="0"/>
              <w:spacing w:line="500" w:lineRule="exact"/>
              <w:jc w:val="center"/>
              <w:rPr>
                <w:rFonts w:hint="eastAsia" w:ascii="宋体" w:hAnsi="宋体" w:eastAsia="宋体" w:cs="宋体"/>
                <w:sz w:val="21"/>
                <w:szCs w:val="21"/>
                <w:lang w:eastAsia="zh-CN"/>
              </w:rPr>
            </w:pPr>
          </w:p>
        </w:tc>
      </w:tr>
    </w:tbl>
    <w:p w14:paraId="053133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注：</w:t>
      </w:r>
    </w:p>
    <w:p w14:paraId="10EC3E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b/>
          <w:bCs/>
          <w:color w:val="auto"/>
          <w:kern w:val="2"/>
          <w:sz w:val="21"/>
          <w:szCs w:val="21"/>
          <w:lang w:val="en-US" w:eastAsia="zh-CN" w:bidi="ar-SA"/>
        </w:rPr>
      </w:pPr>
      <w:r>
        <w:rPr>
          <w:rFonts w:hint="eastAsia" w:cs="宋体"/>
          <w:b/>
          <w:bCs/>
          <w:color w:val="auto"/>
          <w:szCs w:val="21"/>
          <w:highlight w:val="none"/>
          <w:lang w:eastAsia="zh-CN"/>
        </w:rPr>
        <w:t>（</w:t>
      </w:r>
      <w:r>
        <w:rPr>
          <w:rFonts w:hint="eastAsia" w:cs="宋体"/>
          <w:b/>
          <w:bCs/>
          <w:color w:val="auto"/>
          <w:szCs w:val="21"/>
          <w:highlight w:val="none"/>
          <w:lang w:val="en-US" w:eastAsia="zh-CN"/>
        </w:rPr>
        <w:t>1</w:t>
      </w:r>
      <w:r>
        <w:rPr>
          <w:rFonts w:hint="eastAsia" w:cs="宋体"/>
          <w:b/>
          <w:bCs/>
          <w:color w:val="auto"/>
          <w:szCs w:val="21"/>
          <w:highlight w:val="none"/>
          <w:lang w:eastAsia="zh-CN"/>
        </w:rPr>
        <w:t>）</w:t>
      </w:r>
      <w:r>
        <w:rPr>
          <w:rFonts w:hint="eastAsia" w:ascii="宋体" w:hAnsi="宋体" w:eastAsia="宋体" w:cs="宋体"/>
          <w:b/>
          <w:bCs/>
          <w:color w:val="auto"/>
          <w:kern w:val="2"/>
          <w:sz w:val="21"/>
          <w:szCs w:val="21"/>
          <w:lang w:val="en-US" w:eastAsia="zh-CN" w:bidi="ar-SA"/>
        </w:rPr>
        <w:t>核心产品设置：江苏大米（一级）产品为本次采购的核心产品。</w:t>
      </w:r>
    </w:p>
    <w:p w14:paraId="4B3421A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w:t>
      </w:r>
      <w:r>
        <w:rPr>
          <w:rFonts w:hint="eastAsia" w:cs="宋体"/>
          <w:szCs w:val="21"/>
          <w:highlight w:val="none"/>
          <w:lang w:val="en-US" w:eastAsia="zh-CN"/>
        </w:rPr>
        <w:t>2</w:t>
      </w:r>
      <w:r>
        <w:rPr>
          <w:rFonts w:hint="eastAsia" w:ascii="宋体" w:hAnsi="宋体" w:eastAsia="宋体" w:cs="宋体"/>
          <w:szCs w:val="21"/>
          <w:highlight w:val="none"/>
        </w:rPr>
        <w:t>）表中采购需求数量为预估量，根据监狱关押人数和需求标准的变动而变动，招标方并不保证需求数量与实际的一致性和变动范围的准确性</w:t>
      </w:r>
      <w:r>
        <w:rPr>
          <w:rFonts w:hint="eastAsia" w:cs="宋体"/>
          <w:szCs w:val="21"/>
          <w:highlight w:val="none"/>
          <w:lang w:eastAsia="zh-CN"/>
        </w:rPr>
        <w:t>。</w:t>
      </w:r>
    </w:p>
    <w:p w14:paraId="0B842A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（3）投标人供应的货物必须达到国家、地方或行业关于产品质量、安全、卫生的法律法规、规范标准、本合同约定和甲方的要求。</w:t>
      </w:r>
    </w:p>
    <w:p w14:paraId="6B50564D">
      <w:pPr>
        <w:pageBreakBefore w:val="0"/>
        <w:kinsoku/>
        <w:overflowPunct/>
        <w:bidi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w:t>
      </w:r>
      <w:r>
        <w:rPr>
          <w:rFonts w:hint="eastAsia" w:cs="宋体"/>
          <w:szCs w:val="21"/>
          <w:highlight w:val="none"/>
          <w:lang w:val="en-US" w:eastAsia="zh-CN"/>
        </w:rPr>
        <w:t>4</w:t>
      </w:r>
      <w:r>
        <w:rPr>
          <w:rFonts w:hint="eastAsia" w:ascii="宋体" w:hAnsi="宋体" w:eastAsia="宋体" w:cs="宋体"/>
          <w:szCs w:val="21"/>
          <w:highlight w:val="none"/>
        </w:rPr>
        <w:t>）如发现中标单位在合同履行期间，有质量问题、供货延迟、服务不到位、弄虚作假、以次充好、提供假冒伪劣产品等不诚实守信行为的，招标人有权取消该中标单位资格，此时招标人可以依次确定排名其后的中标候选人为中标单位或重新招标</w:t>
      </w:r>
      <w:r>
        <w:rPr>
          <w:rFonts w:hint="eastAsia" w:cs="宋体"/>
          <w:szCs w:val="21"/>
          <w:highlight w:val="none"/>
          <w:lang w:eastAsia="zh-CN"/>
        </w:rPr>
        <w:t>。</w:t>
      </w:r>
    </w:p>
    <w:p w14:paraId="58CF7A1B">
      <w:pPr>
        <w:pageBreakBefore w:val="0"/>
        <w:kinsoku/>
        <w:overflowPunct/>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cs="宋体"/>
          <w:szCs w:val="21"/>
          <w:highlight w:val="none"/>
          <w:lang w:val="en-US" w:eastAsia="zh-CN"/>
        </w:rPr>
        <w:t>5</w:t>
      </w:r>
      <w:r>
        <w:rPr>
          <w:rFonts w:hint="eastAsia" w:ascii="宋体" w:hAnsi="宋体" w:eastAsia="宋体" w:cs="宋体"/>
          <w:szCs w:val="21"/>
          <w:highlight w:val="none"/>
        </w:rPr>
        <w:t>）除采购需求发生变化或市场产品发生价格较大波动时，投标人所报的投标价在合同执行过程中是固定不变的，不得以任何理由予以变更。任何包含价格调整要求的投标均被认为是非实质性响应投标而予以拒绝。</w:t>
      </w:r>
    </w:p>
    <w:p w14:paraId="28E115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四、</w:t>
      </w:r>
      <w:r>
        <w:rPr>
          <w:rFonts w:hint="eastAsia" w:cs="宋体"/>
          <w:b/>
          <w:bCs/>
          <w:color w:val="auto"/>
          <w:kern w:val="0"/>
          <w:sz w:val="21"/>
          <w:szCs w:val="21"/>
          <w:highlight w:val="none"/>
          <w:lang w:val="en-US" w:eastAsia="zh-CN" w:bidi="ar"/>
        </w:rPr>
        <w:t>其他</w:t>
      </w:r>
      <w:r>
        <w:rPr>
          <w:rFonts w:hint="eastAsia" w:ascii="宋体" w:hAnsi="宋体" w:eastAsia="宋体" w:cs="宋体"/>
          <w:b/>
          <w:bCs/>
          <w:color w:val="auto"/>
          <w:kern w:val="0"/>
          <w:sz w:val="21"/>
          <w:szCs w:val="21"/>
          <w:highlight w:val="none"/>
          <w:lang w:val="en-US" w:eastAsia="zh-CN" w:bidi="ar"/>
        </w:rPr>
        <w:t xml:space="preserve">要求 </w:t>
      </w:r>
    </w:p>
    <w:p w14:paraId="7A357D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highlight w:val="none"/>
          <w:lang w:val="en-US" w:eastAsia="zh-CN"/>
        </w:rPr>
      </w:pPr>
      <w:r>
        <w:rPr>
          <w:rFonts w:hint="eastAsia" w:cs="宋体"/>
          <w:highlight w:val="none"/>
          <w:lang w:val="en-US" w:eastAsia="zh-CN"/>
        </w:rPr>
        <w:t>1. 针对本项目，投标人需提供货源组织渠道、货源保障能力：包括但不限于实行集中采购，进货渠道的来源渠道正规性等，有正规且持续稳定的进货渠道。</w:t>
      </w:r>
    </w:p>
    <w:p w14:paraId="3338D2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cs="宋体"/>
          <w:highlight w:val="none"/>
          <w:lang w:val="en-US" w:eastAsia="zh-CN"/>
        </w:rPr>
        <w:t>2.针对本项目，投标人需提供</w:t>
      </w:r>
      <w:r>
        <w:rPr>
          <w:rFonts w:hint="eastAsia" w:ascii="宋体" w:hAnsi="宋体" w:eastAsia="宋体" w:cs="宋体"/>
          <w:b w:val="0"/>
          <w:bCs w:val="0"/>
          <w:color w:val="auto"/>
          <w:sz w:val="21"/>
          <w:szCs w:val="21"/>
          <w:highlight w:val="none"/>
        </w:rPr>
        <w:t>供货方案</w:t>
      </w:r>
      <w:r>
        <w:rPr>
          <w:rFonts w:hint="eastAsia" w:ascii="宋体" w:hAnsi="宋体" w:eastAsia="宋体" w:cs="宋体"/>
          <w:b w:val="0"/>
          <w:bCs w:val="0"/>
          <w:color w:val="auto"/>
          <w:kern w:val="0"/>
          <w:sz w:val="21"/>
          <w:szCs w:val="21"/>
          <w:highlight w:val="none"/>
          <w:lang w:val="en-US" w:eastAsia="zh-CN"/>
        </w:rPr>
        <w:t>：包括但不限于：货物的采购、检验、配货、运输、装卸、派发等。</w:t>
      </w:r>
    </w:p>
    <w:p w14:paraId="34CE3C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投标人为本项目制定对所投产品的源头、渠道、或加工过程中对产品安全、质量的保障措施。</w:t>
      </w:r>
    </w:p>
    <w:p w14:paraId="529763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宋体"/>
          <w:highlight w:val="none"/>
          <w:lang w:val="en-US" w:eastAsia="zh-CN"/>
        </w:rPr>
      </w:pPr>
      <w:r>
        <w:rPr>
          <w:rFonts w:hint="eastAsia" w:cs="宋体"/>
          <w:highlight w:val="none"/>
          <w:lang w:val="en-US" w:eastAsia="zh-CN"/>
        </w:rPr>
        <w:t>4.根据投标人，</w:t>
      </w:r>
      <w:r>
        <w:rPr>
          <w:rFonts w:hint="eastAsia" w:ascii="宋体" w:hAnsi="宋体" w:eastAsia="宋体" w:cs="宋体"/>
          <w:color w:val="auto"/>
          <w:sz w:val="21"/>
          <w:szCs w:val="21"/>
          <w:highlight w:val="none"/>
          <w:lang w:eastAsia="zh-CN"/>
        </w:rPr>
        <w:t>针对</w:t>
      </w:r>
      <w:r>
        <w:rPr>
          <w:rFonts w:hint="eastAsia" w:cs="宋体"/>
          <w:highlight w:val="none"/>
          <w:lang w:val="en-US" w:eastAsia="zh-CN"/>
        </w:rPr>
        <w:t>供货产品质量出现</w:t>
      </w:r>
      <w:r>
        <w:rPr>
          <w:rFonts w:hint="eastAsia" w:ascii="宋体" w:hAnsi="宋体" w:eastAsia="宋体" w:cs="宋体"/>
          <w:color w:val="auto"/>
          <w:sz w:val="21"/>
          <w:szCs w:val="21"/>
          <w:highlight w:val="none"/>
          <w:lang w:eastAsia="zh-CN"/>
        </w:rPr>
        <w:t>发霉、过期、变质</w:t>
      </w:r>
      <w:r>
        <w:rPr>
          <w:rFonts w:hint="eastAsia" w:ascii="宋体" w:hAnsi="宋体" w:eastAsia="宋体" w:cs="宋体"/>
          <w:color w:val="auto"/>
          <w:sz w:val="21"/>
          <w:szCs w:val="21"/>
          <w:highlight w:val="none"/>
          <w:lang w:val="en-US" w:eastAsia="zh-CN"/>
        </w:rPr>
        <w:t>、不合格</w:t>
      </w:r>
      <w:r>
        <w:rPr>
          <w:rFonts w:hint="eastAsia" w:ascii="宋体" w:hAnsi="宋体" w:eastAsia="宋体" w:cs="宋体"/>
          <w:color w:val="auto"/>
          <w:sz w:val="21"/>
          <w:szCs w:val="21"/>
          <w:highlight w:val="none"/>
          <w:lang w:eastAsia="zh-CN"/>
        </w:rPr>
        <w:t>等问题产品更换的保障措施。</w:t>
      </w:r>
    </w:p>
    <w:p w14:paraId="54AAC7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宋体"/>
          <w:highlight w:val="none"/>
          <w:lang w:val="en-US" w:eastAsia="zh-CN"/>
        </w:rPr>
      </w:pPr>
      <w:r>
        <w:rPr>
          <w:rFonts w:hint="eastAsia" w:cs="宋体"/>
          <w:highlight w:val="none"/>
          <w:lang w:val="en-US" w:eastAsia="zh-CN"/>
        </w:rPr>
        <w:t>5.针对本项目，投标人需提供</w:t>
      </w:r>
      <w:r>
        <w:rPr>
          <w:rFonts w:hint="eastAsia" w:ascii="宋体" w:hAnsi="宋体" w:eastAsia="宋体" w:cs="宋体"/>
          <w:color w:val="auto"/>
          <w:sz w:val="21"/>
          <w:szCs w:val="21"/>
          <w:highlight w:val="none"/>
          <w:lang w:eastAsia="zh-CN"/>
        </w:rPr>
        <w:t>服务热线，专人服务，专</w:t>
      </w:r>
      <w:r>
        <w:rPr>
          <w:rFonts w:hint="eastAsia" w:ascii="宋体" w:hAnsi="宋体" w:eastAsia="宋体" w:cs="宋体"/>
          <w:b w:val="0"/>
          <w:bCs w:val="0"/>
          <w:color w:val="auto"/>
          <w:sz w:val="21"/>
          <w:szCs w:val="21"/>
          <w:highlight w:val="none"/>
          <w:lang w:eastAsia="zh-CN"/>
        </w:rPr>
        <w:t>人跟踪</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eastAsia="zh-CN"/>
        </w:rPr>
        <w:t>保障供应及伴随供应服务。</w:t>
      </w:r>
    </w:p>
    <w:p w14:paraId="56A205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宋体"/>
          <w:highlight w:val="none"/>
          <w:lang w:val="en-US" w:eastAsia="zh-CN"/>
        </w:rPr>
      </w:pPr>
      <w:r>
        <w:rPr>
          <w:rFonts w:hint="eastAsia" w:cs="宋体"/>
          <w:highlight w:val="none"/>
          <w:lang w:val="en-US" w:eastAsia="zh-CN"/>
        </w:rPr>
        <w:t>6.</w:t>
      </w:r>
      <w:r>
        <w:rPr>
          <w:rFonts w:hint="eastAsia" w:ascii="宋体" w:hAnsi="宋体" w:eastAsia="宋体" w:cs="宋体"/>
          <w:color w:val="auto"/>
          <w:szCs w:val="21"/>
          <w:highlight w:val="none"/>
          <w:lang w:val="en-US" w:eastAsia="zh-CN"/>
        </w:rPr>
        <w:t>投标人需结合本项目实际情况，如针对雨雪大雾等恶劣天气和重大节假日货物采购等不可抗拒、不确定因素（包括：货物的运输、装卸、派发及善后处理）等情况下，在采购、运输等方面编制切实可行的应急预案及保证措施，确保本项目顺利实施</w:t>
      </w:r>
      <w:r>
        <w:rPr>
          <w:rFonts w:hint="eastAsia" w:ascii="宋体" w:hAnsi="宋体" w:eastAsia="宋体" w:cs="宋体"/>
          <w:color w:val="auto"/>
          <w:kern w:val="2"/>
          <w:sz w:val="21"/>
          <w:szCs w:val="21"/>
          <w:lang w:val="en-US" w:eastAsia="zh-CN" w:bidi="ar-SA"/>
        </w:rPr>
        <w:t>。</w:t>
      </w:r>
    </w:p>
    <w:p w14:paraId="2B18C7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宋体"/>
          <w:highlight w:val="none"/>
          <w:lang w:val="en-US" w:eastAsia="zh-CN"/>
        </w:rPr>
      </w:pPr>
      <w:r>
        <w:rPr>
          <w:rFonts w:hint="eastAsia" w:cs="宋体"/>
          <w:highlight w:val="none"/>
          <w:lang w:val="en-US" w:eastAsia="zh-CN"/>
        </w:rPr>
        <w:t>7.针对本项目，</w:t>
      </w:r>
      <w:r>
        <w:rPr>
          <w:rFonts w:hint="eastAsia" w:ascii="宋体" w:hAnsi="宋体" w:eastAsia="宋体" w:cs="宋体"/>
          <w:b w:val="0"/>
          <w:bCs w:val="0"/>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需提</w:t>
      </w:r>
      <w:r>
        <w:rPr>
          <w:rFonts w:hint="eastAsia" w:ascii="宋体" w:hAnsi="宋体" w:eastAsia="宋体" w:cs="宋体"/>
          <w:b w:val="0"/>
          <w:bCs w:val="0"/>
          <w:color w:val="auto"/>
          <w:kern w:val="2"/>
          <w:sz w:val="21"/>
          <w:szCs w:val="21"/>
          <w:highlight w:val="none"/>
          <w:lang w:val="en-US" w:eastAsia="zh-CN" w:bidi="ar-SA"/>
        </w:rPr>
        <w:t>供</w:t>
      </w:r>
      <w:r>
        <w:rPr>
          <w:rFonts w:hint="eastAsia" w:ascii="宋体" w:hAnsi="宋体" w:eastAsia="宋体" w:cs="宋体"/>
          <w:b w:val="0"/>
          <w:bCs w:val="0"/>
          <w:color w:val="auto"/>
          <w:kern w:val="2"/>
          <w:sz w:val="21"/>
          <w:szCs w:val="21"/>
          <w:lang w:val="en-US" w:eastAsia="zh-CN" w:bidi="ar-SA"/>
        </w:rPr>
        <w:t>运输车辆和专职固定司机及</w:t>
      </w:r>
      <w:r>
        <w:rPr>
          <w:rFonts w:hint="eastAsia" w:ascii="宋体" w:hAnsi="宋体" w:eastAsia="宋体" w:cs="宋体"/>
          <w:b w:val="0"/>
          <w:bCs w:val="0"/>
          <w:color w:val="auto"/>
          <w:kern w:val="2"/>
          <w:sz w:val="21"/>
          <w:szCs w:val="21"/>
          <w:highlight w:val="none"/>
          <w:lang w:val="en-US" w:eastAsia="zh-CN" w:bidi="ar-SA"/>
        </w:rPr>
        <w:t>具有一定的仓储能力</w:t>
      </w:r>
      <w:r>
        <w:rPr>
          <w:rFonts w:hint="eastAsia" w:ascii="宋体" w:hAnsi="宋体" w:eastAsia="宋体" w:cs="宋体"/>
          <w:b w:val="0"/>
          <w:bCs w:val="0"/>
          <w:color w:val="auto"/>
          <w:kern w:val="2"/>
          <w:sz w:val="21"/>
          <w:szCs w:val="21"/>
          <w:lang w:val="en-US" w:eastAsia="zh-CN" w:bidi="ar-SA"/>
        </w:rPr>
        <w:t>。</w:t>
      </w:r>
    </w:p>
    <w:p w14:paraId="08DFB2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cs="宋体"/>
          <w:highlight w:val="none"/>
          <w:lang w:val="en-US" w:eastAsia="zh-CN"/>
        </w:rPr>
        <w:t>8.</w:t>
      </w:r>
      <w:r>
        <w:rPr>
          <w:rFonts w:hint="eastAsia" w:ascii="宋体" w:hAnsi="宋体" w:eastAsia="宋体" w:cs="宋体"/>
          <w:color w:val="auto"/>
          <w:kern w:val="0"/>
          <w:sz w:val="21"/>
          <w:szCs w:val="21"/>
          <w:highlight w:val="none"/>
          <w:lang w:val="en-US" w:eastAsia="zh-CN"/>
        </w:rPr>
        <w:t>投标人为本项目制定</w:t>
      </w:r>
      <w:r>
        <w:rPr>
          <w:rFonts w:hint="eastAsia" w:ascii="宋体" w:hAnsi="宋体" w:eastAsia="宋体" w:cs="宋体"/>
          <w:color w:val="auto"/>
          <w:sz w:val="21"/>
          <w:szCs w:val="21"/>
          <w:highlight w:val="none"/>
          <w:lang w:val="en-US" w:eastAsia="zh-CN"/>
        </w:rPr>
        <w:t>优化服务措施及承诺：包含但不限于有明确的沟通机制、清晰的优化流程、主动的改进承诺、制度化的保障。</w:t>
      </w:r>
    </w:p>
    <w:p w14:paraId="343693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cs="宋体"/>
          <w:highlight w:val="none"/>
          <w:lang w:val="en-US" w:eastAsia="zh-CN"/>
        </w:rPr>
        <w:t>9.</w:t>
      </w:r>
      <w:r>
        <w:rPr>
          <w:rFonts w:hint="eastAsia" w:ascii="宋体" w:hAnsi="宋体" w:eastAsia="宋体" w:cs="宋体"/>
          <w:color w:val="auto"/>
          <w:kern w:val="0"/>
          <w:sz w:val="21"/>
          <w:szCs w:val="21"/>
          <w:highlight w:val="none"/>
          <w:lang w:val="en-US" w:eastAsia="zh-CN"/>
        </w:rPr>
        <w:t>投标人为本项目制定售后服务承诺</w:t>
      </w:r>
      <w:r>
        <w:rPr>
          <w:rFonts w:hint="eastAsia" w:ascii="宋体" w:hAnsi="宋体" w:eastAsia="宋体" w:cs="宋体"/>
          <w:color w:val="auto"/>
          <w:sz w:val="21"/>
          <w:szCs w:val="21"/>
          <w:highlight w:val="none"/>
          <w:lang w:val="en-US" w:eastAsia="zh-CN"/>
        </w:rPr>
        <w:t>：包含但不限于</w:t>
      </w:r>
      <w:r>
        <w:rPr>
          <w:rFonts w:hint="eastAsia" w:ascii="宋体" w:hAnsi="宋体" w:eastAsia="宋体" w:cs="宋体"/>
          <w:color w:val="auto"/>
          <w:sz w:val="21"/>
          <w:szCs w:val="21"/>
          <w:highlight w:val="none"/>
          <w:lang w:eastAsia="zh-CN"/>
        </w:rPr>
        <w:t>解决质量或操作问题的方案、响应速度及服务措施</w:t>
      </w:r>
      <w:r>
        <w:rPr>
          <w:rFonts w:hint="eastAsia" w:cs="宋体"/>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76D04"/>
    <w:rsid w:val="5C27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Body Text 2"/>
    <w:basedOn w:val="1"/>
    <w:uiPriority w:val="0"/>
    <w:pPr>
      <w:spacing w:after="120" w:line="480" w:lineRule="auto"/>
    </w:pPr>
  </w:style>
  <w:style w:type="paragraph" w:styleId="4">
    <w:name w:val="Plain Text"/>
    <w:basedOn w:val="1"/>
    <w:uiPriority w:val="0"/>
    <w:rPr>
      <w:rFonts w:ascii="宋体" w:hAnsi="Courier New" w:cs="Courier New"/>
      <w:szCs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1481</Words>
  <Characters>1565</Characters>
  <Lines>0</Lines>
  <Paragraphs>0</Paragraphs>
  <TotalTime>0</TotalTime>
  <ScaleCrop>false</ScaleCrop>
  <LinksUpToDate>false</LinksUpToDate>
  <CharactersWithSpaces>1567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2026-06-09T01:31:00Z</dcterms:created>
  <dc:creator>Administrator</dc:creator>
  <cp:lastModifiedBy>志慧</cp:lastModifiedBy>
  <dcterms:modified xsi:type="dcterms:W3CDTF">2026-06-09T02:05:28Z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eyJoZGlkIjoiMzhmZDNkOThkODYzODVmYjliMWY5NDMzOGI4MjdkNjEiLCJ1c2VySWQiOiI0Mjg2NDcwODQifQ==</vt:lpwstr>
  </property>
  <property fmtid="{D5CDD505-2E9C-101B-9397-08002B2CF9AE}" pid="4" name="ICV">
    <vt:lpwstr>71535DF44295432891E0B59C4AF9A0DC_12</vt:lpwstr>
  </property>
</Properties>
</file>